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BC94" w14:textId="4F07A96D" w:rsidR="00992134" w:rsidRDefault="00992134" w:rsidP="00992134">
      <w:pPr>
        <w:rPr>
          <w:rFonts w:ascii="Segoe UI" w:hAnsi="Segoe UI" w:cs="Segoe UI"/>
        </w:rPr>
      </w:pPr>
    </w:p>
    <w:p w14:paraId="7D5D0B71" w14:textId="78740E5E" w:rsidR="007B3DFA" w:rsidRDefault="00992134" w:rsidP="0049713D">
      <w:pPr>
        <w:pStyle w:val="Ref"/>
        <w:spacing w:after="480"/>
        <w:ind w:left="708" w:hanging="705"/>
        <w:rPr>
          <w:rStyle w:val="nfase"/>
          <w:rFonts w:ascii="Segoe UI" w:hAnsi="Segoe UI" w:cs="Segoe UI"/>
          <w:lang w:val="pt-BR"/>
        </w:rPr>
      </w:pPr>
      <w:r w:rsidRPr="00463F31">
        <w:rPr>
          <w:rFonts w:ascii="Segoe UI" w:hAnsi="Segoe UI" w:cs="Segoe UI"/>
          <w:lang w:val="pt-BR"/>
        </w:rPr>
        <w:t>Ref.:</w:t>
      </w:r>
      <w:r w:rsidRPr="00463F31">
        <w:rPr>
          <w:rFonts w:ascii="Segoe UI" w:hAnsi="Segoe UI" w:cs="Segoe UI"/>
          <w:lang w:val="pt-BR"/>
        </w:rPr>
        <w:tab/>
      </w:r>
      <w:r w:rsidR="00E02AFF">
        <w:rPr>
          <w:rStyle w:val="nfase"/>
          <w:rFonts w:ascii="Segoe UI" w:hAnsi="Segoe UI" w:cs="Segoe UI"/>
          <w:lang w:val="pt-BR"/>
        </w:rPr>
        <w:t>Requisitos do Relatório do Formador de Mercado Especialista</w:t>
      </w:r>
      <w:r w:rsidR="0049713D">
        <w:rPr>
          <w:rStyle w:val="nfase"/>
          <w:rFonts w:ascii="Segoe UI" w:hAnsi="Segoe UI" w:cs="Segoe UI"/>
          <w:lang w:val="pt-BR"/>
        </w:rPr>
        <w:t xml:space="preserve">                                         </w:t>
      </w:r>
      <w:r w:rsidR="0049713D" w:rsidRPr="0049713D">
        <w:rPr>
          <w:rStyle w:val="nfase"/>
          <w:rFonts w:ascii="Segoe UI" w:hAnsi="Segoe UI" w:cs="Segoe UI"/>
          <w:b w:val="0"/>
          <w:bCs/>
          <w:lang w:val="pt-BR"/>
        </w:rPr>
        <w:t>Specialized Market Maker Reports Requirements</w:t>
      </w:r>
    </w:p>
    <w:p w14:paraId="4CCF99E1" w14:textId="77777777" w:rsidR="0049713D" w:rsidRPr="0049713D" w:rsidRDefault="0049713D" w:rsidP="0049713D"/>
    <w:tbl>
      <w:tblPr>
        <w:tblStyle w:val="Tabelacomgrade"/>
        <w:tblW w:w="1014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81"/>
      </w:tblGrid>
      <w:tr w:rsidR="007B3DFA" w:rsidRPr="00E53F21" w14:paraId="0A334D32" w14:textId="653CB6D7" w:rsidTr="005A7123">
        <w:tc>
          <w:tcPr>
            <w:tcW w:w="4962" w:type="dxa"/>
          </w:tcPr>
          <w:p w14:paraId="0D978E1B" w14:textId="77777777" w:rsidR="007B3DFA" w:rsidRPr="007B3DFA" w:rsidRDefault="007B3DFA" w:rsidP="005A7123">
            <w:pPr>
              <w:pStyle w:val="Ttulo1"/>
              <w:spacing w:after="0"/>
              <w:ind w:right="314"/>
              <w:outlineLvl w:val="0"/>
            </w:pPr>
            <w:r w:rsidRPr="007B3DFA">
              <w:t>Relatório Diário de Formador de Mercado</w:t>
            </w:r>
          </w:p>
        </w:tc>
        <w:tc>
          <w:tcPr>
            <w:tcW w:w="5181" w:type="dxa"/>
          </w:tcPr>
          <w:p w14:paraId="653F400D" w14:textId="3BE1158D" w:rsidR="007B3DFA" w:rsidRPr="00777C5E" w:rsidRDefault="00777C5E" w:rsidP="005A7123">
            <w:pPr>
              <w:pStyle w:val="Ttulo1"/>
              <w:numPr>
                <w:ilvl w:val="0"/>
                <w:numId w:val="7"/>
              </w:numPr>
              <w:spacing w:after="0"/>
              <w:ind w:right="314"/>
              <w:outlineLvl w:val="0"/>
              <w:rPr>
                <w:lang w:val="en-US"/>
              </w:rPr>
            </w:pPr>
            <w:r w:rsidRPr="00777C5E">
              <w:rPr>
                <w:lang w:val="en-US"/>
              </w:rPr>
              <w:t>Specialized Market Maker daily r</w:t>
            </w:r>
            <w:r>
              <w:rPr>
                <w:lang w:val="en-US"/>
              </w:rPr>
              <w:t>eport</w:t>
            </w:r>
          </w:p>
        </w:tc>
      </w:tr>
      <w:tr w:rsidR="007B3DFA" w:rsidRPr="00E53F21" w14:paraId="46DBBC00" w14:textId="46892CC8" w:rsidTr="005A7123">
        <w:tc>
          <w:tcPr>
            <w:tcW w:w="4962" w:type="dxa"/>
          </w:tcPr>
          <w:p w14:paraId="6D253128" w14:textId="77777777" w:rsidR="007B3DFA" w:rsidRPr="007B3DFA" w:rsidRDefault="007B3DFA" w:rsidP="005A7123">
            <w:pPr>
              <w:spacing w:before="0" w:after="120"/>
              <w:ind w:right="314"/>
              <w:rPr>
                <w:rFonts w:ascii="Segoe UI" w:hAnsi="Segoe UI" w:cs="Segoe UI"/>
              </w:rPr>
            </w:pPr>
            <w:r w:rsidRPr="007B3DFA">
              <w:rPr>
                <w:rFonts w:ascii="Segoe UI" w:hAnsi="Segoe UI" w:cs="Segoe UI"/>
              </w:rPr>
              <w:t>Objetivando garantir um nível mínimo de qualidade e valor agregado ao Contratante, o Formador Especialista deve enviar relatórios diários para acompanhamento do Contratante, contendo no mínimo as seguintes informações abaixo:</w:t>
            </w:r>
          </w:p>
        </w:tc>
        <w:tc>
          <w:tcPr>
            <w:tcW w:w="5181" w:type="dxa"/>
          </w:tcPr>
          <w:p w14:paraId="1787CA61" w14:textId="7F604604" w:rsidR="007B3DFA" w:rsidRPr="00777C5E" w:rsidRDefault="00777C5E" w:rsidP="005A7123">
            <w:pPr>
              <w:spacing w:before="0" w:after="120"/>
              <w:ind w:right="314"/>
              <w:rPr>
                <w:rFonts w:ascii="Segoe UI" w:hAnsi="Segoe UI" w:cs="Segoe UI"/>
                <w:lang w:val="en-US"/>
              </w:rPr>
            </w:pPr>
            <w:r w:rsidRPr="00777C5E">
              <w:rPr>
                <w:rFonts w:ascii="Segoe UI" w:hAnsi="Segoe UI" w:cs="Segoe UI"/>
                <w:lang w:val="en-US"/>
              </w:rPr>
              <w:t>In order to ensure a</w:t>
            </w:r>
            <w:r>
              <w:rPr>
                <w:rFonts w:ascii="Segoe UI" w:hAnsi="Segoe UI" w:cs="Segoe UI"/>
                <w:lang w:val="en-US"/>
              </w:rPr>
              <w:t xml:space="preserve"> minimum level of quality and aggregated value to the </w:t>
            </w:r>
            <w:r w:rsidR="005A7123">
              <w:rPr>
                <w:rFonts w:ascii="Segoe UI" w:hAnsi="Segoe UI" w:cs="Segoe UI"/>
                <w:lang w:val="en-US"/>
              </w:rPr>
              <w:t>Issuer</w:t>
            </w:r>
            <w:r>
              <w:rPr>
                <w:rFonts w:ascii="Segoe UI" w:hAnsi="Segoe UI" w:cs="Segoe UI"/>
                <w:lang w:val="en-US"/>
              </w:rPr>
              <w:t xml:space="preserve">, the Specialized Market Maker must send daily reports for follow-up by the </w:t>
            </w:r>
            <w:r w:rsidR="005A7123">
              <w:rPr>
                <w:rFonts w:ascii="Segoe UI" w:hAnsi="Segoe UI" w:cs="Segoe UI"/>
                <w:lang w:val="en-US"/>
              </w:rPr>
              <w:t>Issuer</w:t>
            </w:r>
            <w:r>
              <w:rPr>
                <w:rFonts w:ascii="Segoe UI" w:hAnsi="Segoe UI" w:cs="Segoe UI"/>
                <w:lang w:val="en-US"/>
              </w:rPr>
              <w:t>, containing at least the following information bellow</w:t>
            </w:r>
            <w:r w:rsidR="00F91EC2">
              <w:rPr>
                <w:rFonts w:ascii="Segoe UI" w:hAnsi="Segoe UI" w:cs="Segoe UI"/>
                <w:lang w:val="en-US"/>
              </w:rPr>
              <w:t>:</w:t>
            </w:r>
          </w:p>
        </w:tc>
      </w:tr>
      <w:tr w:rsidR="007B3DFA" w:rsidRPr="00E53F21" w14:paraId="75555250" w14:textId="4F6B96EC" w:rsidTr="005A7123">
        <w:tc>
          <w:tcPr>
            <w:tcW w:w="4962" w:type="dxa"/>
          </w:tcPr>
          <w:p w14:paraId="76C81833" w14:textId="7DDDFFA7" w:rsidR="007B3DFA" w:rsidRPr="007B3DFA" w:rsidRDefault="007B3DFA" w:rsidP="005A7123">
            <w:pPr>
              <w:pStyle w:val="PargrafodaLista"/>
              <w:numPr>
                <w:ilvl w:val="0"/>
                <w:numId w:val="5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Preços: preço de abertura, máxima, mínima e fechamento do ativo no dia</w:t>
            </w:r>
            <w:r w:rsidR="00F91EC2">
              <w:rPr>
                <w:rFonts w:ascii="Segoe UI" w:hAnsi="Segoe UI" w:cs="Segoe UI"/>
                <w:lang w:val="pt-BR"/>
              </w:rPr>
              <w:t>;</w:t>
            </w:r>
          </w:p>
        </w:tc>
        <w:tc>
          <w:tcPr>
            <w:tcW w:w="5181" w:type="dxa"/>
          </w:tcPr>
          <w:p w14:paraId="6D89B19A" w14:textId="10E73E92" w:rsidR="00946368" w:rsidRPr="00946368" w:rsidRDefault="00946368" w:rsidP="00020DAB">
            <w:pPr>
              <w:pStyle w:val="PargrafodaLista"/>
              <w:numPr>
                <w:ilvl w:val="0"/>
                <w:numId w:val="8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Prices: opening price, maximum, minimum and closing of the asset </w:t>
            </w:r>
            <w:r w:rsidR="00F91EC2">
              <w:rPr>
                <w:rFonts w:ascii="Segoe UI" w:hAnsi="Segoe UI" w:cs="Segoe UI"/>
              </w:rPr>
              <w:t>on</w:t>
            </w:r>
            <w:r>
              <w:rPr>
                <w:rFonts w:ascii="Segoe UI" w:hAnsi="Segoe UI" w:cs="Segoe UI"/>
              </w:rPr>
              <w:t xml:space="preserve"> the day</w:t>
            </w:r>
            <w:r w:rsidR="00F91EC2">
              <w:rPr>
                <w:rFonts w:ascii="Segoe UI" w:hAnsi="Segoe UI" w:cs="Segoe UI"/>
              </w:rPr>
              <w:t>;</w:t>
            </w:r>
          </w:p>
        </w:tc>
      </w:tr>
      <w:tr w:rsidR="007B3DFA" w:rsidRPr="00E53F21" w14:paraId="7199EBF8" w14:textId="566F40ED" w:rsidTr="005A7123">
        <w:tc>
          <w:tcPr>
            <w:tcW w:w="4962" w:type="dxa"/>
          </w:tcPr>
          <w:p w14:paraId="6543B594" w14:textId="77777777" w:rsidR="007B3DFA" w:rsidRPr="007B3DFA" w:rsidRDefault="007B3DFA" w:rsidP="005A7123">
            <w:pPr>
              <w:pStyle w:val="PargrafodaLista"/>
              <w:numPr>
                <w:ilvl w:val="0"/>
                <w:numId w:val="8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Negócios: número de negócios realizados no dia;</w:t>
            </w:r>
          </w:p>
        </w:tc>
        <w:tc>
          <w:tcPr>
            <w:tcW w:w="5181" w:type="dxa"/>
          </w:tcPr>
          <w:p w14:paraId="051AB82A" w14:textId="62559986" w:rsidR="007B3DFA" w:rsidRPr="007C2FD3" w:rsidRDefault="005A7123" w:rsidP="005A7123">
            <w:pPr>
              <w:pStyle w:val="PargrafodaLista"/>
              <w:numPr>
                <w:ilvl w:val="0"/>
                <w:numId w:val="9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Trades</w:t>
            </w:r>
            <w:r w:rsidR="00946368" w:rsidRPr="007C2FD3">
              <w:rPr>
                <w:rFonts w:ascii="Segoe UI" w:hAnsi="Segoe UI" w:cs="Segoe UI"/>
              </w:rPr>
              <w:t xml:space="preserve">: number of </w:t>
            </w:r>
            <w:r>
              <w:rPr>
                <w:rFonts w:ascii="Segoe UI" w:hAnsi="Segoe UI" w:cs="Segoe UI"/>
              </w:rPr>
              <w:t>trades</w:t>
            </w:r>
            <w:r w:rsidRPr="007C2FD3">
              <w:rPr>
                <w:rFonts w:ascii="Segoe UI" w:hAnsi="Segoe UI" w:cs="Segoe UI"/>
              </w:rPr>
              <w:t xml:space="preserve"> </w:t>
            </w:r>
            <w:r w:rsidR="007C2FD3" w:rsidRPr="007C2FD3">
              <w:rPr>
                <w:rFonts w:ascii="Segoe UI" w:hAnsi="Segoe UI" w:cs="Segoe UI"/>
              </w:rPr>
              <w:t>of the day</w:t>
            </w:r>
            <w:r w:rsidR="00F91EC2">
              <w:rPr>
                <w:rFonts w:ascii="Segoe UI" w:hAnsi="Segoe UI" w:cs="Segoe UI"/>
              </w:rPr>
              <w:t>;</w:t>
            </w:r>
          </w:p>
        </w:tc>
      </w:tr>
      <w:tr w:rsidR="007B3DFA" w:rsidRPr="007B3DFA" w14:paraId="1525BA1E" w14:textId="6D17E498" w:rsidTr="005A7123">
        <w:tc>
          <w:tcPr>
            <w:tcW w:w="4962" w:type="dxa"/>
          </w:tcPr>
          <w:p w14:paraId="38FE76F0" w14:textId="77777777" w:rsidR="007B3DFA" w:rsidRPr="007B3DFA" w:rsidRDefault="007B3DFA" w:rsidP="005A7123">
            <w:pPr>
              <w:pStyle w:val="PargrafodaLista"/>
              <w:numPr>
                <w:ilvl w:val="0"/>
                <w:numId w:val="9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Quantidade de ações negociadas;</w:t>
            </w:r>
          </w:p>
        </w:tc>
        <w:tc>
          <w:tcPr>
            <w:tcW w:w="5181" w:type="dxa"/>
          </w:tcPr>
          <w:p w14:paraId="48A9840B" w14:textId="7ECC09D4" w:rsidR="007B3DFA" w:rsidRPr="007B3DFA" w:rsidRDefault="007C2FD3" w:rsidP="005A7123">
            <w:pPr>
              <w:pStyle w:val="PargrafodaLista"/>
              <w:numPr>
                <w:ilvl w:val="0"/>
                <w:numId w:val="10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Number of shares traded</w:t>
            </w:r>
            <w:r w:rsidR="00F91EC2">
              <w:rPr>
                <w:rFonts w:ascii="Segoe UI" w:hAnsi="Segoe UI" w:cs="Segoe UI"/>
                <w:lang w:val="pt-BR"/>
              </w:rPr>
              <w:t>;</w:t>
            </w:r>
          </w:p>
        </w:tc>
      </w:tr>
      <w:tr w:rsidR="007B3DFA" w:rsidRPr="00E53F21" w14:paraId="3C915C30" w14:textId="2A3B7855" w:rsidTr="005A7123">
        <w:tc>
          <w:tcPr>
            <w:tcW w:w="4962" w:type="dxa"/>
          </w:tcPr>
          <w:p w14:paraId="6361DE13" w14:textId="77777777" w:rsidR="007B3DFA" w:rsidRPr="007B3DFA" w:rsidRDefault="007B3DFA" w:rsidP="005A7123">
            <w:pPr>
              <w:pStyle w:val="PargrafodaLista"/>
              <w:numPr>
                <w:ilvl w:val="0"/>
                <w:numId w:val="10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lastRenderedPageBreak/>
              <w:t>Oferta direta: número de negócios e volume em ofertas diretas</w:t>
            </w:r>
          </w:p>
        </w:tc>
        <w:tc>
          <w:tcPr>
            <w:tcW w:w="5181" w:type="dxa"/>
          </w:tcPr>
          <w:p w14:paraId="468422A8" w14:textId="4BE78CC1" w:rsidR="007B3DFA" w:rsidRPr="007C2FD3" w:rsidRDefault="005A7123" w:rsidP="005A7123">
            <w:pPr>
              <w:pStyle w:val="PargrafodaLista"/>
              <w:numPr>
                <w:ilvl w:val="0"/>
                <w:numId w:val="11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Cross Orders</w:t>
            </w:r>
            <w:r w:rsidR="007C2FD3" w:rsidRPr="007C2FD3">
              <w:rPr>
                <w:rFonts w:ascii="Segoe UI" w:hAnsi="Segoe UI" w:cs="Segoe UI"/>
              </w:rPr>
              <w:t>: n</w:t>
            </w:r>
            <w:r w:rsidR="007C2FD3">
              <w:rPr>
                <w:rFonts w:ascii="Segoe UI" w:hAnsi="Segoe UI" w:cs="Segoe UI"/>
              </w:rPr>
              <w:t>u</w:t>
            </w:r>
            <w:r w:rsidR="007C2FD3" w:rsidRPr="007C2FD3">
              <w:rPr>
                <w:rFonts w:ascii="Segoe UI" w:hAnsi="Segoe UI" w:cs="Segoe UI"/>
              </w:rPr>
              <w:t xml:space="preserve">mber of </w:t>
            </w:r>
            <w:r>
              <w:rPr>
                <w:rFonts w:ascii="Segoe UI" w:hAnsi="Segoe UI" w:cs="Segoe UI"/>
              </w:rPr>
              <w:t xml:space="preserve">trades </w:t>
            </w:r>
            <w:r w:rsidR="007C2FD3">
              <w:rPr>
                <w:rFonts w:ascii="Segoe UI" w:hAnsi="Segoe UI" w:cs="Segoe UI"/>
              </w:rPr>
              <w:t xml:space="preserve">and volume in </w:t>
            </w:r>
            <w:r>
              <w:rPr>
                <w:rFonts w:ascii="Segoe UI" w:hAnsi="Segoe UI" w:cs="Segoe UI"/>
              </w:rPr>
              <w:t>cross orders</w:t>
            </w:r>
            <w:r w:rsidR="00F91EC2">
              <w:rPr>
                <w:rFonts w:ascii="Segoe UI" w:hAnsi="Segoe UI" w:cs="Segoe UI"/>
              </w:rPr>
              <w:t>;</w:t>
            </w:r>
          </w:p>
        </w:tc>
      </w:tr>
      <w:tr w:rsidR="007B3DFA" w:rsidRPr="00E53F21" w14:paraId="6EE08705" w14:textId="56324F56" w:rsidTr="005A7123">
        <w:tc>
          <w:tcPr>
            <w:tcW w:w="4962" w:type="dxa"/>
          </w:tcPr>
          <w:p w14:paraId="2F8A7CBF" w14:textId="77777777" w:rsidR="007B3DFA" w:rsidRPr="007B3DFA" w:rsidRDefault="007B3DFA" w:rsidP="005A7123">
            <w:pPr>
              <w:pStyle w:val="PargrafodaLista"/>
              <w:numPr>
                <w:ilvl w:val="0"/>
                <w:numId w:val="11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Variação: Oscilação do preço em relação ao último pregão e variação em relação ao Ibovespa;</w:t>
            </w:r>
          </w:p>
        </w:tc>
        <w:tc>
          <w:tcPr>
            <w:tcW w:w="5181" w:type="dxa"/>
          </w:tcPr>
          <w:p w14:paraId="631A7AF2" w14:textId="2E8DBF3E" w:rsidR="007B3DFA" w:rsidRPr="007C2FD3" w:rsidRDefault="007C2FD3" w:rsidP="005A7123">
            <w:pPr>
              <w:pStyle w:val="PargrafodaLista"/>
              <w:numPr>
                <w:ilvl w:val="0"/>
                <w:numId w:val="12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 w:rsidRPr="007C2FD3">
              <w:rPr>
                <w:rFonts w:ascii="Segoe UI" w:hAnsi="Segoe UI" w:cs="Segoe UI"/>
              </w:rPr>
              <w:t xml:space="preserve">Variation: Price </w:t>
            </w:r>
            <w:r w:rsidR="005A7123">
              <w:rPr>
                <w:rFonts w:ascii="Segoe UI" w:hAnsi="Segoe UI" w:cs="Segoe UI"/>
              </w:rPr>
              <w:t xml:space="preserve">variation </w:t>
            </w:r>
            <w:r w:rsidRPr="007C2FD3">
              <w:rPr>
                <w:rFonts w:ascii="Segoe UI" w:hAnsi="Segoe UI" w:cs="Segoe UI"/>
              </w:rPr>
              <w:t>in r</w:t>
            </w:r>
            <w:r>
              <w:rPr>
                <w:rFonts w:ascii="Segoe UI" w:hAnsi="Segoe UI" w:cs="Segoe UI"/>
              </w:rPr>
              <w:t xml:space="preserve">elation to the last trading </w:t>
            </w:r>
            <w:r w:rsidR="008864F5">
              <w:rPr>
                <w:rFonts w:ascii="Segoe UI" w:hAnsi="Segoe UI" w:cs="Segoe UI"/>
              </w:rPr>
              <w:t>session</w:t>
            </w:r>
            <w:r>
              <w:rPr>
                <w:rFonts w:ascii="Segoe UI" w:hAnsi="Segoe UI" w:cs="Segoe UI"/>
              </w:rPr>
              <w:t xml:space="preserve"> and variation in relation to Ibovespa</w:t>
            </w:r>
            <w:r w:rsidR="00672612">
              <w:rPr>
                <w:rFonts w:ascii="Segoe UI" w:hAnsi="Segoe UI" w:cs="Segoe UI"/>
              </w:rPr>
              <w:t xml:space="preserve"> index</w:t>
            </w:r>
            <w:r w:rsidR="00F91EC2">
              <w:rPr>
                <w:rFonts w:ascii="Segoe UI" w:hAnsi="Segoe UI" w:cs="Segoe UI"/>
              </w:rPr>
              <w:t>;</w:t>
            </w:r>
          </w:p>
        </w:tc>
      </w:tr>
      <w:tr w:rsidR="007B3DFA" w:rsidRPr="00E53F21" w14:paraId="0558E6F1" w14:textId="09EB748D" w:rsidTr="005A7123">
        <w:tc>
          <w:tcPr>
            <w:tcW w:w="4962" w:type="dxa"/>
          </w:tcPr>
          <w:p w14:paraId="36A8D0A4" w14:textId="77777777" w:rsidR="007B3DFA" w:rsidRPr="007B3DFA" w:rsidRDefault="007B3DFA" w:rsidP="005A7123">
            <w:pPr>
              <w:pStyle w:val="PargrafodaLista"/>
              <w:numPr>
                <w:ilvl w:val="0"/>
                <w:numId w:val="12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Negociação no leilão de fechamento: preço antes e após o leilão de fechamento, número de negócios e quantidade de ações negociadas</w:t>
            </w:r>
          </w:p>
        </w:tc>
        <w:tc>
          <w:tcPr>
            <w:tcW w:w="5181" w:type="dxa"/>
          </w:tcPr>
          <w:p w14:paraId="28E30883" w14:textId="72A8B13D" w:rsidR="007B3DFA" w:rsidRPr="008864F5" w:rsidRDefault="008864F5" w:rsidP="005A7123">
            <w:pPr>
              <w:pStyle w:val="PargrafodaLista"/>
              <w:numPr>
                <w:ilvl w:val="0"/>
                <w:numId w:val="13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 w:rsidRPr="008864F5">
              <w:rPr>
                <w:rFonts w:ascii="Segoe UI" w:hAnsi="Segoe UI" w:cs="Segoe UI"/>
              </w:rPr>
              <w:t>Trad</w:t>
            </w:r>
            <w:r w:rsidR="00672612">
              <w:rPr>
                <w:rFonts w:ascii="Segoe UI" w:hAnsi="Segoe UI" w:cs="Segoe UI"/>
              </w:rPr>
              <w:t>es</w:t>
            </w:r>
            <w:r w:rsidRPr="008864F5">
              <w:rPr>
                <w:rFonts w:ascii="Segoe UI" w:hAnsi="Segoe UI" w:cs="Segoe UI"/>
              </w:rPr>
              <w:t xml:space="preserve"> in </w:t>
            </w:r>
            <w:r w:rsidR="00672612">
              <w:rPr>
                <w:rFonts w:ascii="Segoe UI" w:hAnsi="Segoe UI" w:cs="Segoe UI"/>
              </w:rPr>
              <w:t>C</w:t>
            </w:r>
            <w:r w:rsidRPr="008864F5">
              <w:rPr>
                <w:rFonts w:ascii="Segoe UI" w:hAnsi="Segoe UI" w:cs="Segoe UI"/>
              </w:rPr>
              <w:t>losin</w:t>
            </w:r>
            <w:r>
              <w:rPr>
                <w:rFonts w:ascii="Segoe UI" w:hAnsi="Segoe UI" w:cs="Segoe UI"/>
              </w:rPr>
              <w:t>g</w:t>
            </w:r>
            <w:r w:rsidRPr="008864F5">
              <w:rPr>
                <w:rFonts w:ascii="Segoe UI" w:hAnsi="Segoe UI" w:cs="Segoe UI"/>
              </w:rPr>
              <w:t xml:space="preserve"> </w:t>
            </w:r>
            <w:r w:rsidR="00672612">
              <w:rPr>
                <w:rFonts w:ascii="Segoe UI" w:hAnsi="Segoe UI" w:cs="Segoe UI"/>
              </w:rPr>
              <w:t>Call</w:t>
            </w:r>
            <w:r w:rsidRPr="008864F5">
              <w:rPr>
                <w:rFonts w:ascii="Segoe UI" w:hAnsi="Segoe UI" w:cs="Segoe UI"/>
              </w:rPr>
              <w:t>: p</w:t>
            </w:r>
            <w:r>
              <w:rPr>
                <w:rFonts w:ascii="Segoe UI" w:hAnsi="Segoe UI" w:cs="Segoe UI"/>
              </w:rPr>
              <w:t xml:space="preserve">rice before and after the closing </w:t>
            </w:r>
            <w:r w:rsidR="00672612">
              <w:rPr>
                <w:rFonts w:ascii="Segoe UI" w:hAnsi="Segoe UI" w:cs="Segoe UI"/>
              </w:rPr>
              <w:t>call</w:t>
            </w:r>
            <w:r>
              <w:rPr>
                <w:rFonts w:ascii="Segoe UI" w:hAnsi="Segoe UI" w:cs="Segoe UI"/>
              </w:rPr>
              <w:t xml:space="preserve">, number of </w:t>
            </w:r>
            <w:r w:rsidR="00672612">
              <w:rPr>
                <w:rFonts w:ascii="Segoe UI" w:hAnsi="Segoe UI" w:cs="Segoe UI"/>
              </w:rPr>
              <w:t xml:space="preserve">trades </w:t>
            </w:r>
            <w:r>
              <w:rPr>
                <w:rFonts w:ascii="Segoe UI" w:hAnsi="Segoe UI" w:cs="Segoe UI"/>
              </w:rPr>
              <w:t>and quantity of shares traded</w:t>
            </w:r>
            <w:r w:rsidR="00F91EC2">
              <w:rPr>
                <w:rFonts w:ascii="Segoe UI" w:hAnsi="Segoe UI" w:cs="Segoe UI"/>
              </w:rPr>
              <w:t>;</w:t>
            </w:r>
          </w:p>
        </w:tc>
      </w:tr>
      <w:tr w:rsidR="007B3DFA" w:rsidRPr="00E53F21" w14:paraId="2B1C6DB0" w14:textId="28CA416A" w:rsidTr="005A7123">
        <w:tc>
          <w:tcPr>
            <w:tcW w:w="4962" w:type="dxa"/>
          </w:tcPr>
          <w:p w14:paraId="3EA06A57" w14:textId="77777777" w:rsidR="007B3DFA" w:rsidRPr="007B3DFA" w:rsidRDefault="007B3DFA" w:rsidP="005A7123">
            <w:pPr>
              <w:pStyle w:val="PargrafodaLista"/>
              <w:numPr>
                <w:ilvl w:val="0"/>
                <w:numId w:val="13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 xml:space="preserve">Negociação do Formador Especialista e Formador da Tela: total de ações compradas/vendidas, posição líquida no final no dia, número de negócios, quantidade de ações negociadas, volume financeiro negociado, percentual de negócios, quantidade de ações e volume </w:t>
            </w:r>
            <w:r w:rsidRPr="007B3DFA">
              <w:rPr>
                <w:rFonts w:ascii="Segoe UI" w:hAnsi="Segoe UI" w:cs="Segoe UI"/>
                <w:lang w:val="pt-BR"/>
              </w:rPr>
              <w:lastRenderedPageBreak/>
              <w:t>financeiro em relação ao total do ativo, participação nas quantidades de ações compradas/vendidas do dia;</w:t>
            </w:r>
          </w:p>
        </w:tc>
        <w:tc>
          <w:tcPr>
            <w:tcW w:w="5181" w:type="dxa"/>
          </w:tcPr>
          <w:p w14:paraId="723C3F58" w14:textId="2B01645A" w:rsidR="007B3DFA" w:rsidRPr="008864F5" w:rsidRDefault="00E53F21" w:rsidP="005A7123">
            <w:pPr>
              <w:pStyle w:val="PargrafodaLista"/>
              <w:numPr>
                <w:ilvl w:val="0"/>
                <w:numId w:val="14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Trades </w:t>
            </w:r>
            <w:r w:rsidR="008864F5" w:rsidRPr="008864F5">
              <w:rPr>
                <w:rFonts w:ascii="Segoe UI" w:hAnsi="Segoe UI" w:cs="Segoe UI"/>
              </w:rPr>
              <w:t xml:space="preserve"> of the Specialized M</w:t>
            </w:r>
            <w:r w:rsidR="008864F5">
              <w:rPr>
                <w:rFonts w:ascii="Segoe UI" w:hAnsi="Segoe UI" w:cs="Segoe UI"/>
              </w:rPr>
              <w:t xml:space="preserve">arket Maker and </w:t>
            </w:r>
            <w:r>
              <w:rPr>
                <w:rFonts w:ascii="Segoe UI" w:hAnsi="Segoe UI" w:cs="Segoe UI"/>
              </w:rPr>
              <w:t xml:space="preserve"> Subcontracted</w:t>
            </w:r>
            <w:r w:rsidR="008864F5">
              <w:rPr>
                <w:rFonts w:ascii="Segoe UI" w:hAnsi="Segoe UI" w:cs="Segoe UI"/>
              </w:rPr>
              <w:t xml:space="preserve"> Market Maker:</w:t>
            </w:r>
            <w:r w:rsidR="005C6F7A">
              <w:rPr>
                <w:rFonts w:ascii="Segoe UI" w:hAnsi="Segoe UI" w:cs="Segoe UI"/>
              </w:rPr>
              <w:t xml:space="preserve"> total  shares bought/sold, net position on the end of the day, number of trades, number of shares</w:t>
            </w:r>
            <w:r w:rsidR="00D57082">
              <w:rPr>
                <w:rFonts w:ascii="Segoe UI" w:hAnsi="Segoe UI" w:cs="Segoe UI"/>
              </w:rPr>
              <w:t>traded</w:t>
            </w:r>
            <w:r w:rsidR="005C6F7A">
              <w:rPr>
                <w:rFonts w:ascii="Segoe UI" w:hAnsi="Segoe UI" w:cs="Segoe UI"/>
              </w:rPr>
              <w:t xml:space="preserve">, financial volume traded, percentual of trades, number of shares and financial volume in relation to the </w:t>
            </w:r>
            <w:r w:rsidR="005C6F7A">
              <w:rPr>
                <w:rFonts w:ascii="Segoe UI" w:hAnsi="Segoe UI" w:cs="Segoe UI"/>
              </w:rPr>
              <w:lastRenderedPageBreak/>
              <w:t>total</w:t>
            </w:r>
            <w:r w:rsidR="00710EFE">
              <w:rPr>
                <w:rFonts w:ascii="Segoe UI" w:hAnsi="Segoe UI" w:cs="Segoe UI"/>
              </w:rPr>
              <w:t xml:space="preserve"> traded on the </w:t>
            </w:r>
            <w:r w:rsidR="005C6F7A">
              <w:rPr>
                <w:rFonts w:ascii="Segoe UI" w:hAnsi="Segoe UI" w:cs="Segoe UI"/>
              </w:rPr>
              <w:t xml:space="preserve">asset, participation in the number of shares bought/sold </w:t>
            </w:r>
            <w:r w:rsidR="005C3F4D">
              <w:rPr>
                <w:rFonts w:ascii="Segoe UI" w:hAnsi="Segoe UI" w:cs="Segoe UI"/>
              </w:rPr>
              <w:t>in</w:t>
            </w:r>
            <w:r w:rsidR="005C6F7A">
              <w:rPr>
                <w:rFonts w:ascii="Segoe UI" w:hAnsi="Segoe UI" w:cs="Segoe UI"/>
              </w:rPr>
              <w:t xml:space="preserve"> the day</w:t>
            </w:r>
            <w:r w:rsidR="00F91EC2">
              <w:rPr>
                <w:rFonts w:ascii="Segoe UI" w:hAnsi="Segoe UI" w:cs="Segoe UI"/>
              </w:rPr>
              <w:t>;</w:t>
            </w:r>
          </w:p>
        </w:tc>
      </w:tr>
      <w:tr w:rsidR="007B3DFA" w:rsidRPr="00E53F21" w14:paraId="7254DD5A" w14:textId="0C5709E2" w:rsidTr="005A7123">
        <w:tc>
          <w:tcPr>
            <w:tcW w:w="4962" w:type="dxa"/>
          </w:tcPr>
          <w:p w14:paraId="7CA8C9DB" w14:textId="77777777" w:rsidR="007B3DFA" w:rsidRPr="007B3DFA" w:rsidRDefault="007B3DFA" w:rsidP="005A7123">
            <w:pPr>
              <w:pStyle w:val="PargrafodaLista"/>
              <w:numPr>
                <w:ilvl w:val="0"/>
                <w:numId w:val="14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lastRenderedPageBreak/>
              <w:t>ADTV: Volume médio diário negociado do último mês;</w:t>
            </w:r>
          </w:p>
        </w:tc>
        <w:tc>
          <w:tcPr>
            <w:tcW w:w="5181" w:type="dxa"/>
          </w:tcPr>
          <w:p w14:paraId="0222E0C6" w14:textId="2B23276B" w:rsidR="007B3DFA" w:rsidRPr="00CF5B5F" w:rsidRDefault="005C6F7A" w:rsidP="005A7123">
            <w:pPr>
              <w:pStyle w:val="PargrafodaLista"/>
              <w:numPr>
                <w:ilvl w:val="0"/>
                <w:numId w:val="15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 w:rsidRPr="00CF5B5F">
              <w:rPr>
                <w:rFonts w:ascii="Segoe UI" w:hAnsi="Segoe UI" w:cs="Segoe UI"/>
              </w:rPr>
              <w:t>ADTV: Average daily</w:t>
            </w:r>
            <w:r w:rsidR="00CF5B5F" w:rsidRPr="00CF5B5F">
              <w:rPr>
                <w:rFonts w:ascii="Segoe UI" w:hAnsi="Segoe UI" w:cs="Segoe UI"/>
              </w:rPr>
              <w:t xml:space="preserve"> trading v</w:t>
            </w:r>
            <w:r w:rsidR="00CF5B5F">
              <w:rPr>
                <w:rFonts w:ascii="Segoe UI" w:hAnsi="Segoe UI" w:cs="Segoe UI"/>
              </w:rPr>
              <w:t>olume of the last month</w:t>
            </w:r>
            <w:r w:rsidR="00F91EC2">
              <w:rPr>
                <w:rFonts w:ascii="Segoe UI" w:hAnsi="Segoe UI" w:cs="Segoe UI"/>
              </w:rPr>
              <w:t>;</w:t>
            </w:r>
          </w:p>
        </w:tc>
      </w:tr>
      <w:tr w:rsidR="007B3DFA" w:rsidRPr="007B3DFA" w14:paraId="2FB3694E" w14:textId="0F15ABDA" w:rsidTr="005A7123">
        <w:tc>
          <w:tcPr>
            <w:tcW w:w="4962" w:type="dxa"/>
          </w:tcPr>
          <w:p w14:paraId="3CBCBD35" w14:textId="77777777" w:rsidR="007B3DFA" w:rsidRPr="007B3DFA" w:rsidRDefault="007B3DFA" w:rsidP="005A7123">
            <w:pPr>
              <w:pStyle w:val="PargrafodaLista"/>
              <w:numPr>
                <w:ilvl w:val="0"/>
                <w:numId w:val="15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Valor de mercado;</w:t>
            </w:r>
          </w:p>
        </w:tc>
        <w:tc>
          <w:tcPr>
            <w:tcW w:w="5181" w:type="dxa"/>
          </w:tcPr>
          <w:p w14:paraId="4D6E8C36" w14:textId="30F110ED" w:rsidR="007B3DFA" w:rsidRPr="007B3DFA" w:rsidRDefault="00CF5B5F" w:rsidP="005A7123">
            <w:pPr>
              <w:pStyle w:val="PargrafodaLista"/>
              <w:numPr>
                <w:ilvl w:val="0"/>
                <w:numId w:val="16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Market Cap</w:t>
            </w:r>
            <w:r w:rsidR="00F91EC2">
              <w:rPr>
                <w:rFonts w:ascii="Segoe UI" w:hAnsi="Segoe UI" w:cs="Segoe UI"/>
                <w:lang w:val="pt-BR"/>
              </w:rPr>
              <w:t>;</w:t>
            </w:r>
          </w:p>
        </w:tc>
      </w:tr>
      <w:tr w:rsidR="007B3DFA" w:rsidRPr="00E53F21" w14:paraId="54BCDB76" w14:textId="2505BF12" w:rsidTr="005A7123">
        <w:tc>
          <w:tcPr>
            <w:tcW w:w="4962" w:type="dxa"/>
          </w:tcPr>
          <w:p w14:paraId="10DBA104" w14:textId="77777777" w:rsidR="007B3DFA" w:rsidRPr="007B3DFA" w:rsidRDefault="007B3DFA" w:rsidP="005A7123">
            <w:pPr>
              <w:pStyle w:val="PargrafodaLista"/>
              <w:numPr>
                <w:ilvl w:val="0"/>
                <w:numId w:val="16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Ranking de corretoras: lista das 10 (dez) maiores corretoras compradoras e vendedoras no dia, bem como a quantidade de ações negociadas, volume financeiro e representatividade do volume financeiro total negociado no ativo;</w:t>
            </w:r>
          </w:p>
        </w:tc>
        <w:tc>
          <w:tcPr>
            <w:tcW w:w="5181" w:type="dxa"/>
          </w:tcPr>
          <w:p w14:paraId="0BC63D27" w14:textId="76C66A56" w:rsidR="007B3DFA" w:rsidRDefault="00710EFE" w:rsidP="005A7123">
            <w:pPr>
              <w:pStyle w:val="PargrafodaLista"/>
              <w:numPr>
                <w:ilvl w:val="0"/>
                <w:numId w:val="17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Brokers Ranking</w:t>
            </w:r>
            <w:r w:rsidR="00CF5B5F" w:rsidRPr="00CF5B5F">
              <w:rPr>
                <w:rFonts w:ascii="Segoe UI" w:hAnsi="Segoe UI" w:cs="Segoe UI"/>
              </w:rPr>
              <w:t xml:space="preserve">: </w:t>
            </w:r>
            <w:r w:rsidR="00DE475F">
              <w:rPr>
                <w:rFonts w:ascii="Segoe UI" w:hAnsi="Segoe UI" w:cs="Segoe UI"/>
              </w:rPr>
              <w:t>Top</w:t>
            </w:r>
            <w:r w:rsidR="00CF5B5F">
              <w:rPr>
                <w:rFonts w:ascii="Segoe UI" w:hAnsi="Segoe UI" w:cs="Segoe UI"/>
              </w:rPr>
              <w:t xml:space="preserve"> 10 (ten) biggest brokers buyers and sellers on the day, as well as the number of shares trades, financial volume and representativeness of the financial volume trade </w:t>
            </w:r>
            <w:r w:rsidR="00DE475F">
              <w:rPr>
                <w:rFonts w:ascii="Segoe UI" w:hAnsi="Segoe UI" w:cs="Segoe UI"/>
              </w:rPr>
              <w:t>on</w:t>
            </w:r>
            <w:r w:rsidR="00CF5B5F">
              <w:rPr>
                <w:rFonts w:ascii="Segoe UI" w:hAnsi="Segoe UI" w:cs="Segoe UI"/>
              </w:rPr>
              <w:t xml:space="preserve"> the asset</w:t>
            </w:r>
            <w:r w:rsidR="00F91EC2">
              <w:rPr>
                <w:rFonts w:ascii="Segoe UI" w:hAnsi="Segoe UI" w:cs="Segoe UI"/>
              </w:rPr>
              <w:t>;</w:t>
            </w:r>
          </w:p>
          <w:p w14:paraId="687FEC01" w14:textId="44EE79DF" w:rsidR="00CF5B5F" w:rsidRPr="00CF5B5F" w:rsidRDefault="00CF5B5F" w:rsidP="005A7123">
            <w:pPr>
              <w:spacing w:before="0" w:after="120"/>
              <w:ind w:left="360" w:right="314"/>
              <w:rPr>
                <w:rFonts w:ascii="Segoe UI" w:hAnsi="Segoe UI" w:cs="Segoe UI"/>
                <w:lang w:val="en-US"/>
              </w:rPr>
            </w:pPr>
          </w:p>
        </w:tc>
      </w:tr>
      <w:tr w:rsidR="007B3DFA" w:rsidRPr="00E53F21" w14:paraId="5A129928" w14:textId="0E8DD3BC" w:rsidTr="005A7123">
        <w:tc>
          <w:tcPr>
            <w:tcW w:w="4962" w:type="dxa"/>
          </w:tcPr>
          <w:p w14:paraId="6C3C22DE" w14:textId="77777777" w:rsidR="007B3DFA" w:rsidRPr="007B3DFA" w:rsidRDefault="007B3DFA" w:rsidP="005A7123">
            <w:pPr>
              <w:pStyle w:val="PargrafodaLista"/>
              <w:numPr>
                <w:ilvl w:val="0"/>
                <w:numId w:val="17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Gráficos: visão da variação intradiária do ativo e do Ibovespa e variação do ativo nos últimos 3 meses com visão do volume diário negociado;</w:t>
            </w:r>
          </w:p>
        </w:tc>
        <w:tc>
          <w:tcPr>
            <w:tcW w:w="5181" w:type="dxa"/>
          </w:tcPr>
          <w:p w14:paraId="72007FF4" w14:textId="1F5F56DF" w:rsidR="007B3DFA" w:rsidRPr="00CF5B5F" w:rsidRDefault="00CF5B5F" w:rsidP="005A7123">
            <w:pPr>
              <w:pStyle w:val="PargrafodaLista"/>
              <w:numPr>
                <w:ilvl w:val="0"/>
                <w:numId w:val="18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 w:rsidRPr="00CF5B5F">
              <w:rPr>
                <w:rFonts w:ascii="Segoe UI" w:hAnsi="Segoe UI" w:cs="Segoe UI"/>
              </w:rPr>
              <w:t xml:space="preserve">Graphics:  </w:t>
            </w:r>
            <w:r w:rsidR="005A4C5F">
              <w:rPr>
                <w:rFonts w:ascii="Segoe UI" w:hAnsi="Segoe UI" w:cs="Segoe UI"/>
              </w:rPr>
              <w:t>overview</w:t>
            </w:r>
            <w:r w:rsidRPr="00CF5B5F">
              <w:rPr>
                <w:rFonts w:ascii="Segoe UI" w:hAnsi="Segoe UI" w:cs="Segoe UI"/>
              </w:rPr>
              <w:t xml:space="preserve"> of the i</w:t>
            </w:r>
            <w:r>
              <w:rPr>
                <w:rFonts w:ascii="Segoe UI" w:hAnsi="Segoe UI" w:cs="Segoe UI"/>
              </w:rPr>
              <w:t>ntraday</w:t>
            </w:r>
            <w:r w:rsidR="009B29BC">
              <w:rPr>
                <w:rFonts w:ascii="Segoe UI" w:hAnsi="Segoe UI" w:cs="Segoe UI"/>
              </w:rPr>
              <w:t xml:space="preserve"> variation of the price</w:t>
            </w:r>
            <w:r>
              <w:rPr>
                <w:rFonts w:ascii="Segoe UI" w:hAnsi="Segoe UI" w:cs="Segoe UI"/>
              </w:rPr>
              <w:t xml:space="preserve"> </w:t>
            </w:r>
            <w:r w:rsidR="005A4C5F">
              <w:rPr>
                <w:rFonts w:ascii="Segoe UI" w:hAnsi="Segoe UI" w:cs="Segoe UI"/>
              </w:rPr>
              <w:t>asset and Ibovespa</w:t>
            </w:r>
            <w:r w:rsidR="009B29BC">
              <w:rPr>
                <w:rFonts w:ascii="Segoe UI" w:hAnsi="Segoe UI" w:cs="Segoe UI"/>
              </w:rPr>
              <w:t>,</w:t>
            </w:r>
            <w:r w:rsidR="005A4C5F">
              <w:rPr>
                <w:rFonts w:ascii="Segoe UI" w:hAnsi="Segoe UI" w:cs="Segoe UI"/>
              </w:rPr>
              <w:t xml:space="preserve"> and the asset</w:t>
            </w:r>
            <w:r w:rsidR="00DE475F">
              <w:rPr>
                <w:rFonts w:ascii="Segoe UI" w:hAnsi="Segoe UI" w:cs="Segoe UI"/>
              </w:rPr>
              <w:t xml:space="preserve"> price</w:t>
            </w:r>
            <w:r w:rsidR="005A4C5F">
              <w:rPr>
                <w:rFonts w:ascii="Segoe UI" w:hAnsi="Segoe UI" w:cs="Segoe UI"/>
              </w:rPr>
              <w:t xml:space="preserve"> variation in the last 3 months with the daily volume traded</w:t>
            </w:r>
            <w:r w:rsidR="00DE475F">
              <w:rPr>
                <w:rFonts w:ascii="Segoe UI" w:hAnsi="Segoe UI" w:cs="Segoe UI"/>
              </w:rPr>
              <w:t xml:space="preserve"> view</w:t>
            </w:r>
            <w:r w:rsidR="0049713D">
              <w:rPr>
                <w:rFonts w:ascii="Segoe UI" w:hAnsi="Segoe UI" w:cs="Segoe UI"/>
              </w:rPr>
              <w:t>;</w:t>
            </w:r>
          </w:p>
        </w:tc>
      </w:tr>
      <w:tr w:rsidR="007B3DFA" w:rsidRPr="00E53F21" w14:paraId="577BA838" w14:textId="1839975F" w:rsidTr="005A7123">
        <w:tc>
          <w:tcPr>
            <w:tcW w:w="4962" w:type="dxa"/>
          </w:tcPr>
          <w:p w14:paraId="168A6CC6" w14:textId="77777777" w:rsidR="007B3DFA" w:rsidRPr="007B3DFA" w:rsidRDefault="007B3DFA" w:rsidP="005A7123">
            <w:pPr>
              <w:pStyle w:val="PargrafodaLista"/>
              <w:numPr>
                <w:ilvl w:val="0"/>
                <w:numId w:val="18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Performance: comparativo de performance entre outros índices de referência e ao dólar em variação diária, mensal e anual;</w:t>
            </w:r>
          </w:p>
        </w:tc>
        <w:tc>
          <w:tcPr>
            <w:tcW w:w="5181" w:type="dxa"/>
          </w:tcPr>
          <w:p w14:paraId="7470E85B" w14:textId="7EFAEFC7" w:rsidR="007B3DFA" w:rsidRPr="005A4C5F" w:rsidRDefault="005A4C5F" w:rsidP="005A7123">
            <w:pPr>
              <w:pStyle w:val="PargrafodaLista"/>
              <w:numPr>
                <w:ilvl w:val="0"/>
                <w:numId w:val="19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 w:rsidRPr="005A4C5F">
              <w:rPr>
                <w:rFonts w:ascii="Segoe UI" w:hAnsi="Segoe UI" w:cs="Segoe UI"/>
              </w:rPr>
              <w:t xml:space="preserve">Performance: performance </w:t>
            </w:r>
            <w:r>
              <w:rPr>
                <w:rFonts w:ascii="Segoe UI" w:hAnsi="Segoe UI" w:cs="Segoe UI"/>
              </w:rPr>
              <w:t>comparison</w:t>
            </w:r>
            <w:r w:rsidRPr="005A4C5F">
              <w:rPr>
                <w:rFonts w:ascii="Segoe UI" w:hAnsi="Segoe UI" w:cs="Segoe UI"/>
              </w:rPr>
              <w:t xml:space="preserve"> between o</w:t>
            </w:r>
            <w:r>
              <w:rPr>
                <w:rFonts w:ascii="Segoe UI" w:hAnsi="Segoe UI" w:cs="Segoe UI"/>
              </w:rPr>
              <w:t xml:space="preserve">thers referential indexes and </w:t>
            </w:r>
            <w:r w:rsidR="002E7166">
              <w:rPr>
                <w:rFonts w:ascii="Segoe UI" w:hAnsi="Segoe UI" w:cs="Segoe UI"/>
              </w:rPr>
              <w:t xml:space="preserve">the </w:t>
            </w:r>
            <w:r w:rsidR="00F91EC2">
              <w:rPr>
                <w:rFonts w:ascii="Segoe UI" w:hAnsi="Segoe UI" w:cs="Segoe UI"/>
              </w:rPr>
              <w:t>dollar in</w:t>
            </w:r>
            <w:r>
              <w:rPr>
                <w:rFonts w:ascii="Segoe UI" w:hAnsi="Segoe UI" w:cs="Segoe UI"/>
              </w:rPr>
              <w:t xml:space="preserve"> daily, monthly and annual variation</w:t>
            </w:r>
            <w:r w:rsidR="0049713D">
              <w:rPr>
                <w:rFonts w:ascii="Segoe UI" w:hAnsi="Segoe UI" w:cs="Segoe UI"/>
              </w:rPr>
              <w:t>;</w:t>
            </w:r>
          </w:p>
        </w:tc>
      </w:tr>
      <w:tr w:rsidR="007B3DFA" w:rsidRPr="00E53F21" w14:paraId="6B3E14D5" w14:textId="2A8EEAE3" w:rsidTr="005A7123">
        <w:tc>
          <w:tcPr>
            <w:tcW w:w="4962" w:type="dxa"/>
          </w:tcPr>
          <w:p w14:paraId="3DF14057" w14:textId="2755BAE4" w:rsidR="007B3DFA" w:rsidRPr="007B3DFA" w:rsidRDefault="007B3DFA" w:rsidP="005A7123">
            <w:pPr>
              <w:pStyle w:val="PargrafodaLista"/>
              <w:numPr>
                <w:ilvl w:val="0"/>
                <w:numId w:val="19"/>
              </w:numPr>
              <w:spacing w:before="0" w:after="120"/>
              <w:ind w:right="314"/>
              <w:rPr>
                <w:rFonts w:ascii="Segoe UI" w:hAnsi="Segoe UI" w:cs="Segoe UI"/>
                <w:lang w:val="pt-BR"/>
              </w:rPr>
            </w:pPr>
            <w:r w:rsidRPr="007B3DFA">
              <w:rPr>
                <w:rFonts w:ascii="Segoe UI" w:hAnsi="Segoe UI" w:cs="Segoe UI"/>
                <w:lang w:val="pt-BR"/>
              </w:rPr>
              <w:t>Ranking do índice de negociabilidade: posição do ativo no mês anterior e no mês atual, bem como a posição do ativo antes da contratação do Formador de Mercado</w:t>
            </w:r>
            <w:r w:rsidR="0049713D">
              <w:rPr>
                <w:rFonts w:ascii="Segoe UI" w:hAnsi="Segoe UI" w:cs="Segoe UI"/>
                <w:lang w:val="pt-BR"/>
              </w:rPr>
              <w:t>;</w:t>
            </w:r>
          </w:p>
        </w:tc>
        <w:tc>
          <w:tcPr>
            <w:tcW w:w="5181" w:type="dxa"/>
          </w:tcPr>
          <w:p w14:paraId="47D5DBCF" w14:textId="6C936BD4" w:rsidR="007B3DFA" w:rsidRPr="00F91EC2" w:rsidRDefault="002E7166" w:rsidP="005A7123">
            <w:pPr>
              <w:pStyle w:val="PargrafodaLista"/>
              <w:numPr>
                <w:ilvl w:val="0"/>
                <w:numId w:val="20"/>
              </w:numPr>
              <w:spacing w:before="0" w:after="120"/>
              <w:ind w:right="3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</w:t>
            </w:r>
            <w:r w:rsidR="00F91EC2" w:rsidRPr="00F91EC2">
              <w:rPr>
                <w:rFonts w:ascii="Segoe UI" w:hAnsi="Segoe UI" w:cs="Segoe UI"/>
              </w:rPr>
              <w:t>egotiability index</w:t>
            </w:r>
            <w:r>
              <w:rPr>
                <w:rFonts w:ascii="Segoe UI" w:hAnsi="Segoe UI" w:cs="Segoe UI"/>
              </w:rPr>
              <w:t xml:space="preserve"> Ranking</w:t>
            </w:r>
            <w:r w:rsidR="00F91EC2" w:rsidRPr="00F91EC2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 xml:space="preserve">asset </w:t>
            </w:r>
            <w:r w:rsidR="00F91EC2" w:rsidRPr="00F91EC2">
              <w:rPr>
                <w:rFonts w:ascii="Segoe UI" w:hAnsi="Segoe UI" w:cs="Segoe UI"/>
              </w:rPr>
              <w:t>position in the previous month a</w:t>
            </w:r>
            <w:r w:rsidR="00F91EC2">
              <w:rPr>
                <w:rFonts w:ascii="Segoe UI" w:hAnsi="Segoe UI" w:cs="Segoe UI"/>
              </w:rPr>
              <w:t xml:space="preserve">nd actual month, as well as the position of the asset </w:t>
            </w:r>
            <w:r w:rsidR="001E0858">
              <w:rPr>
                <w:rFonts w:ascii="Segoe UI" w:hAnsi="Segoe UI" w:cs="Segoe UI"/>
              </w:rPr>
              <w:t>before</w:t>
            </w:r>
            <w:r w:rsidR="00F91EC2">
              <w:rPr>
                <w:rFonts w:ascii="Segoe UI" w:hAnsi="Segoe UI" w:cs="Segoe UI"/>
              </w:rPr>
              <w:t xml:space="preserve"> the Market Maker</w:t>
            </w:r>
            <w:r w:rsidR="001E0858">
              <w:rPr>
                <w:rFonts w:ascii="Segoe UI" w:hAnsi="Segoe UI" w:cs="Segoe UI"/>
              </w:rPr>
              <w:t xml:space="preserve"> being hired</w:t>
            </w:r>
            <w:r w:rsidR="0049713D">
              <w:rPr>
                <w:rFonts w:ascii="Segoe UI" w:hAnsi="Segoe UI" w:cs="Segoe UI"/>
              </w:rPr>
              <w:t>;</w:t>
            </w:r>
          </w:p>
        </w:tc>
      </w:tr>
      <w:tr w:rsidR="007B3DFA" w:rsidRPr="007B3DFA" w14:paraId="1634E2C8" w14:textId="725E69C4" w:rsidTr="005A7123">
        <w:tc>
          <w:tcPr>
            <w:tcW w:w="4962" w:type="dxa"/>
          </w:tcPr>
          <w:p w14:paraId="47B2174E" w14:textId="77777777" w:rsidR="007B3DFA" w:rsidRPr="007B3DFA" w:rsidRDefault="007B3DFA" w:rsidP="005A7123">
            <w:pPr>
              <w:pStyle w:val="Ttulo1"/>
              <w:spacing w:after="0"/>
              <w:ind w:right="314"/>
              <w:outlineLvl w:val="0"/>
            </w:pPr>
            <w:r w:rsidRPr="007B3DFA">
              <w:t>Relatório Mensal de Formador de Mercado</w:t>
            </w:r>
          </w:p>
        </w:tc>
        <w:tc>
          <w:tcPr>
            <w:tcW w:w="5181" w:type="dxa"/>
          </w:tcPr>
          <w:p w14:paraId="2B0C6EAE" w14:textId="75F51B37" w:rsidR="007B3DFA" w:rsidRPr="007B3DFA" w:rsidRDefault="00F91EC2" w:rsidP="005A7123">
            <w:pPr>
              <w:pStyle w:val="Ttulo1"/>
              <w:numPr>
                <w:ilvl w:val="0"/>
                <w:numId w:val="21"/>
              </w:numPr>
              <w:spacing w:after="0"/>
              <w:ind w:right="314"/>
              <w:outlineLvl w:val="0"/>
            </w:pPr>
            <w:r>
              <w:t xml:space="preserve">Market Maker </w:t>
            </w:r>
            <w:r w:rsidR="00746B82">
              <w:t>Monthly</w:t>
            </w:r>
            <w:r>
              <w:t xml:space="preserve"> </w:t>
            </w:r>
            <w:r w:rsidR="00746B82">
              <w:t>Report.</w:t>
            </w:r>
          </w:p>
        </w:tc>
      </w:tr>
      <w:tr w:rsidR="007B3DFA" w:rsidRPr="00E53F21" w14:paraId="675479B4" w14:textId="16FEC109" w:rsidTr="005A7123">
        <w:tc>
          <w:tcPr>
            <w:tcW w:w="4962" w:type="dxa"/>
          </w:tcPr>
          <w:p w14:paraId="05ECC529" w14:textId="77777777" w:rsidR="007B3DFA" w:rsidRPr="00463F31" w:rsidRDefault="007B3DFA" w:rsidP="005A7123">
            <w:pPr>
              <w:spacing w:before="0" w:after="120"/>
              <w:ind w:right="314"/>
              <w:rPr>
                <w:rFonts w:ascii="Segoe UI" w:hAnsi="Segoe UI" w:cs="Segoe UI"/>
              </w:rPr>
            </w:pPr>
            <w:r w:rsidRPr="007B3DFA">
              <w:rPr>
                <w:rFonts w:ascii="Segoe UI" w:hAnsi="Segoe UI" w:cs="Segoe UI"/>
              </w:rPr>
              <w:t>De forma a complementar aos relatórios com visão diária, o Formador Especialista deve enviar relatórios mensais no último dia de negociação do mês contendo, as mesmas informações mínimas estabelecidas nos relatórios diários, porém, com a visão consolidada do mês, caso aplicável. Neste sentido, no item C, por exemplo, o relatório mensal deve apresentar a quantidade negociada total no mês de referência, ao invés da visão diária.</w:t>
            </w:r>
          </w:p>
        </w:tc>
        <w:tc>
          <w:tcPr>
            <w:tcW w:w="5181" w:type="dxa"/>
          </w:tcPr>
          <w:p w14:paraId="4640361C" w14:textId="0B30F2F5" w:rsidR="007B3DFA" w:rsidRPr="00746B82" w:rsidRDefault="00746B82" w:rsidP="005A7123">
            <w:pPr>
              <w:spacing w:before="0" w:after="120"/>
              <w:ind w:right="314"/>
              <w:rPr>
                <w:rFonts w:ascii="Segoe UI" w:hAnsi="Segoe UI" w:cs="Segoe UI"/>
                <w:lang w:val="en-US"/>
              </w:rPr>
            </w:pPr>
            <w:r w:rsidRPr="00746B82">
              <w:rPr>
                <w:rFonts w:ascii="Segoe UI" w:hAnsi="Segoe UI" w:cs="Segoe UI"/>
                <w:lang w:val="en-US"/>
              </w:rPr>
              <w:t xml:space="preserve">In order to complement </w:t>
            </w:r>
            <w:r>
              <w:rPr>
                <w:rFonts w:ascii="Segoe UI" w:hAnsi="Segoe UI" w:cs="Segoe UI"/>
                <w:lang w:val="en-US"/>
              </w:rPr>
              <w:t xml:space="preserve">reports with daily view, the Specialized Market Maker must submit in the last day of the month a report containing, the same minimum information set out in the daily report, however with a consolidated overview of the month, if applicable. In </w:t>
            </w:r>
            <w:r w:rsidR="0049713D">
              <w:rPr>
                <w:rFonts w:ascii="Segoe UI" w:hAnsi="Segoe UI" w:cs="Segoe UI"/>
                <w:lang w:val="en-US"/>
              </w:rPr>
              <w:t>this sense</w:t>
            </w:r>
            <w:r>
              <w:rPr>
                <w:rFonts w:ascii="Segoe UI" w:hAnsi="Segoe UI" w:cs="Segoe UI"/>
                <w:lang w:val="en-US"/>
              </w:rPr>
              <w:t xml:space="preserve">, the C item, for example, the monthly report must </w:t>
            </w:r>
            <w:r w:rsidR="0049713D">
              <w:rPr>
                <w:rFonts w:ascii="Segoe UI" w:hAnsi="Segoe UI" w:cs="Segoe UI"/>
                <w:lang w:val="en-US"/>
              </w:rPr>
              <w:t>display</w:t>
            </w:r>
            <w:r>
              <w:rPr>
                <w:rFonts w:ascii="Segoe UI" w:hAnsi="Segoe UI" w:cs="Segoe UI"/>
                <w:lang w:val="en-US"/>
              </w:rPr>
              <w:t xml:space="preserve"> the number of shares traded in the refe</w:t>
            </w:r>
            <w:r w:rsidR="0049713D">
              <w:rPr>
                <w:rFonts w:ascii="Segoe UI" w:hAnsi="Segoe UI" w:cs="Segoe UI"/>
                <w:lang w:val="en-US"/>
              </w:rPr>
              <w:t>renced month, instead of the daily view.</w:t>
            </w:r>
          </w:p>
        </w:tc>
      </w:tr>
    </w:tbl>
    <w:p w14:paraId="0ACA881A" w14:textId="27694C0E" w:rsidR="00970691" w:rsidRPr="00746B82" w:rsidRDefault="00970691" w:rsidP="007B3DFA">
      <w:pPr>
        <w:spacing w:before="0" w:after="120"/>
        <w:rPr>
          <w:rFonts w:ascii="Segoe UI" w:hAnsi="Segoe UI" w:cs="Segoe UI"/>
          <w:lang w:val="en-US"/>
        </w:rPr>
      </w:pPr>
    </w:p>
    <w:sectPr w:rsidR="00970691" w:rsidRPr="00746B82" w:rsidSect="00DF75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701" w:bottom="2127" w:left="1701" w:header="0" w:footer="102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4053" w14:textId="77777777" w:rsidR="002519B2" w:rsidRDefault="002519B2" w:rsidP="009D5365">
      <w:r>
        <w:separator/>
      </w:r>
    </w:p>
    <w:p w14:paraId="16218197" w14:textId="77777777" w:rsidR="002519B2" w:rsidRDefault="002519B2"/>
  </w:endnote>
  <w:endnote w:type="continuationSeparator" w:id="0">
    <w:p w14:paraId="1010B5B5" w14:textId="77777777" w:rsidR="002519B2" w:rsidRDefault="002519B2" w:rsidP="009D5365">
      <w:r>
        <w:continuationSeparator/>
      </w:r>
    </w:p>
    <w:p w14:paraId="6C179131" w14:textId="77777777" w:rsidR="002519B2" w:rsidRDefault="002519B2"/>
  </w:endnote>
  <w:endnote w:type="continuationNotice" w:id="1">
    <w:p w14:paraId="69A8BDA9" w14:textId="77777777" w:rsidR="002519B2" w:rsidRDefault="002519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096" w14:textId="77777777" w:rsidR="003A0225" w:rsidRDefault="003A0225">
    <w:pPr>
      <w:pStyle w:val="Rodap"/>
    </w:pPr>
  </w:p>
  <w:p w14:paraId="7AD58738" w14:textId="77777777" w:rsidR="00E36D8C" w:rsidRDefault="00E36D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DD3C" w14:textId="39C5BF04" w:rsidR="00FC730A" w:rsidRPr="00801CBC" w:rsidRDefault="001D3A72" w:rsidP="00801CBC">
    <w:pPr>
      <w:pStyle w:val="Rodap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58263AFD" wp14:editId="5BA4C5BD">
              <wp:simplePos x="0" y="0"/>
              <wp:positionH relativeFrom="column">
                <wp:posOffset>552450</wp:posOffset>
              </wp:positionH>
              <wp:positionV relativeFrom="paragraph">
                <wp:posOffset>-145415</wp:posOffset>
              </wp:positionV>
              <wp:extent cx="4295775" cy="59055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D7D8F" w14:textId="79D8F682" w:rsidR="00D80FF1" w:rsidRDefault="00D80FF1" w:rsidP="00D80FF1">
                          <w:pPr>
                            <w:spacing w:line="240" w:lineRule="auto"/>
                            <w:jc w:val="center"/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</w:rPr>
                          </w:pPr>
                          <w:r w:rsidRPr="00D80FF1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>Este Ofício Circular</w:t>
                          </w:r>
                          <w:r w:rsidR="00665A52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r w:rsidRPr="00D80FF1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>produz efeitos a partir da data de sua publicação, respeitados os prazos específicos de vigência, se houver</w:t>
                          </w:r>
                          <w:r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 xml:space="preserve">. </w:t>
                          </w:r>
                          <w:r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br/>
                            <w:t>O teor deste documento confere com o original assinado, disponível na B3.</w:t>
                          </w:r>
                        </w:p>
                        <w:p w14:paraId="3C3C4315" w14:textId="354F4A2D" w:rsidR="001D3A72" w:rsidRDefault="001D3A72" w:rsidP="001D3A72">
                          <w:pPr>
                            <w:spacing w:line="240" w:lineRule="auto"/>
                            <w:jc w:val="center"/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63AF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3.5pt;margin-top:-11.45pt;width:338.25pt;height:46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" filled="f" stroked="f">
              <v:textbox>
                <w:txbxContent>
                  <w:p w14:paraId="3DDD7D8F" w14:textId="79D8F682" w:rsidR="00D80FF1" w:rsidRDefault="00D80FF1" w:rsidP="00D80FF1">
                    <w:pPr>
                      <w:spacing w:line="240" w:lineRule="auto"/>
                      <w:jc w:val="center"/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</w:rPr>
                    </w:pPr>
                    <w:r w:rsidRPr="00D80FF1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>Este Ofício Circular</w:t>
                    </w:r>
                    <w:r w:rsidR="00665A52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 xml:space="preserve"> </w:t>
                    </w:r>
                    <w:r w:rsidRPr="00D80FF1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>produz efeitos a partir da data de sua publicação, respeitados os prazos específicos de vigência, se houver</w:t>
                    </w:r>
                    <w:r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 xml:space="preserve">. </w:t>
                    </w:r>
                    <w:r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br/>
                      <w:t>O teor deste documento confere com o original assinado, disponível na B3.</w:t>
                    </w:r>
                  </w:p>
                  <w:p w14:paraId="3C3C4315" w14:textId="354F4A2D" w:rsidR="001D3A72" w:rsidRDefault="001D3A72" w:rsidP="001D3A72">
                    <w:pPr>
                      <w:spacing w:line="240" w:lineRule="auto"/>
                      <w:jc w:val="center"/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DB1E21D" wp14:editId="7183FAEE">
              <wp:simplePos x="0" y="0"/>
              <wp:positionH relativeFrom="column">
                <wp:posOffset>1129665</wp:posOffset>
              </wp:positionH>
              <wp:positionV relativeFrom="paragraph">
                <wp:posOffset>231775</wp:posOffset>
              </wp:positionV>
              <wp:extent cx="3124200" cy="5048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419CF" w14:textId="77777777" w:rsidR="001D3A72" w:rsidRDefault="001D3A72" w:rsidP="001D3A72">
                          <w:pPr>
                            <w:spacing w:line="240" w:lineRule="auto"/>
                            <w:jc w:val="center"/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 xml:space="preserve">Praça Antonio Prado, 48 – 01010-901 – São Paulo, SP </w:t>
                          </w:r>
                          <w:r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br/>
                            <w:t>Tel.: (11) 2565-4000 – Fax: (11) 2565-7737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1E21D" id="Caixa de Texto 4" o:spid="_x0000_s1027" type="#_x0000_t202" style="position:absolute;left:0;text-align:left;margin-left:88.95pt;margin-top:18.25pt;width:246pt;height:3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" filled="f" stroked="f">
              <v:textbox>
                <w:txbxContent>
                  <w:p w14:paraId="171419CF" w14:textId="77777777" w:rsidR="001D3A72" w:rsidRDefault="001D3A72" w:rsidP="001D3A72">
                    <w:pPr>
                      <w:spacing w:line="240" w:lineRule="auto"/>
                      <w:jc w:val="center"/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</w:pPr>
                    <w:r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 xml:space="preserve">Praça Antonio Prado, 48 – 01010-901 – São Paulo, SP </w:t>
                    </w:r>
                    <w:r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br/>
                      <w:t>Tel.: (11) 2565-4000 – Fax: (11) 2565-7737</w:t>
                    </w:r>
                  </w:p>
                </w:txbxContent>
              </v:textbox>
            </v:shape>
          </w:pict>
        </mc:Fallback>
      </mc:AlternateContent>
    </w:r>
    <w:r w:rsidR="00C43F3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AA93B7D" wp14:editId="2666038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ab843b2b2033e930a986b9d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A6212" w14:textId="22F12727" w:rsidR="00C43F3A" w:rsidRPr="004929FB" w:rsidRDefault="004929FB" w:rsidP="004929F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29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A93B7D" id="MSIPCMfab843b2b2033e930a986b9d" o:spid="_x0000_s1028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7DCA6212" w14:textId="22F12727" w:rsidR="00C43F3A" w:rsidRPr="004929FB" w:rsidRDefault="004929FB" w:rsidP="004929F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29FB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30A">
      <w:tab/>
    </w:r>
    <w:r w:rsidR="00FC730A">
      <w:tab/>
    </w:r>
    <w:r w:rsidR="00FC730A">
      <w:fldChar w:fldCharType="begin"/>
    </w:r>
    <w:r w:rsidR="00FC730A">
      <w:instrText xml:space="preserve"> PAGE  \* Arabic  \* MERGEFORMAT </w:instrText>
    </w:r>
    <w:r w:rsidR="00FC730A">
      <w:fldChar w:fldCharType="separate"/>
    </w:r>
    <w:r w:rsidR="006B4894">
      <w:rPr>
        <w:noProof/>
      </w:rPr>
      <w:t>2</w:t>
    </w:r>
    <w:r w:rsidR="00FC730A">
      <w:fldChar w:fldCharType="end"/>
    </w:r>
  </w:p>
  <w:p w14:paraId="2063E0D3" w14:textId="77777777" w:rsidR="00E36D8C" w:rsidRDefault="00E36D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DC2B" w14:textId="606EAB6B" w:rsidR="00AB7A92" w:rsidRPr="00FC730A" w:rsidRDefault="001D3A72" w:rsidP="00FC730A">
    <w:pPr>
      <w:pStyle w:val="Rodap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6C8B1F3F" wp14:editId="645B1F69">
              <wp:simplePos x="0" y="0"/>
              <wp:positionH relativeFrom="column">
                <wp:posOffset>529590</wp:posOffset>
              </wp:positionH>
              <wp:positionV relativeFrom="paragraph">
                <wp:posOffset>-120650</wp:posOffset>
              </wp:positionV>
              <wp:extent cx="4295775" cy="590550"/>
              <wp:effectExtent l="0" t="0" r="0" b="0"/>
              <wp:wrapNone/>
              <wp:docPr id="41" name="Caixa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2ABC" w14:textId="46150154" w:rsidR="001D3A72" w:rsidRDefault="00D80FF1" w:rsidP="001D3A72">
                          <w:pPr>
                            <w:spacing w:line="240" w:lineRule="auto"/>
                            <w:jc w:val="center"/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</w:rPr>
                          </w:pPr>
                          <w:r w:rsidRPr="00D80FF1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>Este Ofício Circular</w:t>
                          </w:r>
                          <w:r w:rsidR="00665A52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r w:rsidRPr="00D80FF1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>produz efeitos a partir da data de sua publicação, respeitados os prazos específicos de vigência, se houver</w:t>
                          </w:r>
                          <w:r w:rsidR="001D3A72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 xml:space="preserve">. </w:t>
                          </w:r>
                          <w:r w:rsidR="001D3A72"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br/>
                            <w:t>O teor deste documento confere com o original assinado, disponível na B3.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B1F3F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9" type="#_x0000_t202" style="position:absolute;left:0;text-align:left;margin-left:41.7pt;margin-top:-9.5pt;width:338.25pt;height:46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" filled="f" stroked="f">
              <v:textbox>
                <w:txbxContent>
                  <w:p w14:paraId="52532ABC" w14:textId="46150154" w:rsidR="001D3A72" w:rsidRDefault="00D80FF1" w:rsidP="001D3A72">
                    <w:pPr>
                      <w:spacing w:line="240" w:lineRule="auto"/>
                      <w:jc w:val="center"/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</w:rPr>
                    </w:pPr>
                    <w:r w:rsidRPr="00D80FF1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>Este Ofício Circular</w:t>
                    </w:r>
                    <w:r w:rsidR="00665A52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 xml:space="preserve"> </w:t>
                    </w:r>
                    <w:r w:rsidRPr="00D80FF1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>produz efeitos a partir da data de sua publicação, respeitados os prazos específicos de vigência, se houver</w:t>
                    </w:r>
                    <w:r w:rsidR="001D3A72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 xml:space="preserve">. </w:t>
                    </w:r>
                    <w:r w:rsidR="001D3A72"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br/>
                      <w:t>O teor deste documento confere com o original assinado, disponível na B3.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3A942C" wp14:editId="2578EBEA">
              <wp:simplePos x="0" y="0"/>
              <wp:positionH relativeFrom="column">
                <wp:posOffset>1120140</wp:posOffset>
              </wp:positionH>
              <wp:positionV relativeFrom="paragraph">
                <wp:posOffset>250825</wp:posOffset>
              </wp:positionV>
              <wp:extent cx="3124200" cy="504825"/>
              <wp:effectExtent l="0" t="0" r="0" b="0"/>
              <wp:wrapNone/>
              <wp:docPr id="42" name="Caixa de Tex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E5EB9" w14:textId="77777777" w:rsidR="001D3A72" w:rsidRDefault="001D3A72" w:rsidP="001D3A72">
                          <w:pPr>
                            <w:spacing w:line="240" w:lineRule="auto"/>
                            <w:jc w:val="center"/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t xml:space="preserve">Praça Antonio Prado, 48 – 01010-901 – São Paulo, SP </w:t>
                          </w:r>
                          <w:r>
                            <w:rPr>
                              <w:rFonts w:ascii="Segoe UI" w:hAnsi="Segoe UI" w:cs="Segoe UI"/>
                              <w:color w:val="003475"/>
                              <w:sz w:val="14"/>
                              <w:szCs w:val="14"/>
                              <w:shd w:val="clear" w:color="auto" w:fill="FFFFFF"/>
                            </w:rPr>
                            <w:br/>
                            <w:t>Tel.: (11) 2565-4000 – Fax: (11) 2565-7737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3A942C" id="Caixa de Texto 42" o:spid="_x0000_s1030" type="#_x0000_t202" style="position:absolute;left:0;text-align:left;margin-left:88.2pt;margin-top:19.75pt;width:246pt;height:3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" filled="f" stroked="f">
              <v:textbox>
                <w:txbxContent>
                  <w:p w14:paraId="6E9E5EB9" w14:textId="77777777" w:rsidR="001D3A72" w:rsidRDefault="001D3A72" w:rsidP="001D3A72">
                    <w:pPr>
                      <w:spacing w:line="240" w:lineRule="auto"/>
                      <w:jc w:val="center"/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</w:pPr>
                    <w:r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t xml:space="preserve">Praça Antonio Prado, 48 – 01010-901 – São Paulo, SP </w:t>
                    </w:r>
                    <w:r>
                      <w:rPr>
                        <w:rFonts w:ascii="Segoe UI" w:hAnsi="Segoe UI" w:cs="Segoe UI"/>
                        <w:color w:val="003475"/>
                        <w:sz w:val="14"/>
                        <w:szCs w:val="14"/>
                        <w:shd w:val="clear" w:color="auto" w:fill="FFFFFF"/>
                      </w:rPr>
                      <w:br/>
                      <w:t>Tel.: (11) 2565-4000 – Fax: (11) 2565-7737</w:t>
                    </w:r>
                  </w:p>
                </w:txbxContent>
              </v:textbox>
            </v:shape>
          </w:pict>
        </mc:Fallback>
      </mc:AlternateContent>
    </w:r>
    <w:r w:rsidR="00C43F3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C42816C" wp14:editId="59480D0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93e456db466dadc7bca25af" descr="{&quot;HashCode&quot;:136928984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05DC" w14:textId="220A2586" w:rsidR="00C43F3A" w:rsidRPr="004929FB" w:rsidRDefault="004929FB" w:rsidP="004929F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29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42816C" id="MSIPCMf93e456db466dadc7bca25af" o:spid="_x0000_s1031" type="#_x0000_t202" alt="{&quot;HashCode&quot;:1369289849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JrIN0w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3B7505DC" w14:textId="220A2586" w:rsidR="00C43F3A" w:rsidRPr="004929FB" w:rsidRDefault="004929FB" w:rsidP="004929F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29FB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30A">
      <w:tab/>
    </w:r>
    <w:r w:rsidR="00FC730A">
      <w:tab/>
    </w:r>
    <w:r w:rsidR="00FC730A">
      <w:fldChar w:fldCharType="begin"/>
    </w:r>
    <w:r w:rsidR="00FC730A">
      <w:instrText xml:space="preserve"> PAGE  \* Arabic  \* MERGEFORMAT </w:instrText>
    </w:r>
    <w:r w:rsidR="00FC730A">
      <w:fldChar w:fldCharType="separate"/>
    </w:r>
    <w:r w:rsidR="006B4894">
      <w:rPr>
        <w:noProof/>
      </w:rPr>
      <w:t>1</w:t>
    </w:r>
    <w:r w:rsidR="00FC730A">
      <w:fldChar w:fldCharType="end"/>
    </w:r>
  </w:p>
  <w:p w14:paraId="1D23D4ED" w14:textId="77777777" w:rsidR="00E36D8C" w:rsidRDefault="00E36D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425F" w14:textId="77777777" w:rsidR="002519B2" w:rsidRDefault="002519B2" w:rsidP="009D5365">
      <w:r>
        <w:separator/>
      </w:r>
    </w:p>
    <w:p w14:paraId="6BCA2F12" w14:textId="77777777" w:rsidR="002519B2" w:rsidRDefault="002519B2"/>
  </w:footnote>
  <w:footnote w:type="continuationSeparator" w:id="0">
    <w:p w14:paraId="377C4CA8" w14:textId="77777777" w:rsidR="002519B2" w:rsidRDefault="002519B2" w:rsidP="009D5365">
      <w:r>
        <w:continuationSeparator/>
      </w:r>
    </w:p>
    <w:p w14:paraId="36959A41" w14:textId="77777777" w:rsidR="002519B2" w:rsidRDefault="002519B2"/>
  </w:footnote>
  <w:footnote w:type="continuationNotice" w:id="1">
    <w:p w14:paraId="004F7F8B" w14:textId="77777777" w:rsidR="002519B2" w:rsidRDefault="002519B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6A4E" w14:textId="77777777" w:rsidR="003A0225" w:rsidRDefault="003A0225">
    <w:pPr>
      <w:pStyle w:val="Cabealho"/>
    </w:pPr>
  </w:p>
  <w:p w14:paraId="5B32A678" w14:textId="77777777" w:rsidR="00E36D8C" w:rsidRDefault="00E36D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text" w:tblpXSpec="center" w:tblpY="1"/>
      <w:tblOverlap w:val="never"/>
      <w:tblW w:w="68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1"/>
      <w:gridCol w:w="7898"/>
      <w:gridCol w:w="1887"/>
    </w:tblGrid>
    <w:tr w:rsidR="003A447C" w:rsidRPr="000000B9" w14:paraId="67793B86" w14:textId="77777777" w:rsidTr="00D15EDD">
      <w:trPr>
        <w:trHeight w:val="2342"/>
      </w:trPr>
      <w:tc>
        <w:tcPr>
          <w:tcW w:w="1891" w:type="dxa"/>
          <w:vAlign w:val="bottom"/>
        </w:tcPr>
        <w:p w14:paraId="0D768AA7" w14:textId="77777777" w:rsidR="003A447C" w:rsidRPr="000000B9" w:rsidRDefault="003A447C" w:rsidP="003A447C">
          <w:pPr>
            <w:pStyle w:val="Cabealho"/>
            <w:spacing w:after="180"/>
          </w:pPr>
        </w:p>
      </w:tc>
      <w:tc>
        <w:tcPr>
          <w:tcW w:w="7898" w:type="dxa"/>
          <w:vAlign w:val="center"/>
        </w:tcPr>
        <w:p w14:paraId="17B1EC2E" w14:textId="2990A46F" w:rsidR="003A447C" w:rsidRPr="000000B9" w:rsidRDefault="00F32455" w:rsidP="003A447C">
          <w:pPr>
            <w:pStyle w:val="Cabealho"/>
            <w:spacing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4" behindDoc="1" locked="0" layoutInCell="1" allowOverlap="1" wp14:anchorId="0F9CA5A2" wp14:editId="2D77E489">
                <wp:simplePos x="0" y="0"/>
                <wp:positionH relativeFrom="column">
                  <wp:posOffset>3917950</wp:posOffset>
                </wp:positionH>
                <wp:positionV relativeFrom="paragraph">
                  <wp:posOffset>198755</wp:posOffset>
                </wp:positionV>
                <wp:extent cx="1439545" cy="143954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87" w:type="dxa"/>
          <w:vAlign w:val="center"/>
        </w:tcPr>
        <w:p w14:paraId="1FBE6D71" w14:textId="7CE0AAB3" w:rsidR="003A447C" w:rsidRPr="000000B9" w:rsidRDefault="003A447C" w:rsidP="003A447C">
          <w:pPr>
            <w:pStyle w:val="Cabealho"/>
            <w:spacing w:line="240" w:lineRule="auto"/>
            <w:jc w:val="center"/>
          </w:pPr>
        </w:p>
      </w:tc>
    </w:tr>
  </w:tbl>
  <w:p w14:paraId="30ED7BB7" w14:textId="3E0B50CB" w:rsidR="003A447C" w:rsidRPr="003A447C" w:rsidRDefault="003A447C" w:rsidP="003A447C">
    <w:pPr>
      <w:pStyle w:val="Cabealho"/>
    </w:pPr>
  </w:p>
  <w:p w14:paraId="19B787AC" w14:textId="77777777" w:rsidR="00E36D8C" w:rsidRDefault="00E36D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1"/>
      <w:gridCol w:w="4768"/>
      <w:gridCol w:w="2595"/>
    </w:tblGrid>
    <w:tr w:rsidR="0002165D" w:rsidRPr="000000B9" w14:paraId="59C42C45" w14:textId="77777777" w:rsidTr="00D15EDD">
      <w:tc>
        <w:tcPr>
          <w:tcW w:w="1147" w:type="dxa"/>
          <w:vAlign w:val="center"/>
        </w:tcPr>
        <w:p w14:paraId="6D11350F" w14:textId="77777777" w:rsidR="0002165D" w:rsidRPr="000000B9" w:rsidRDefault="0002165D" w:rsidP="0002165D">
          <w:pPr>
            <w:pStyle w:val="Cabealho"/>
          </w:pPr>
        </w:p>
      </w:tc>
      <w:tc>
        <w:tcPr>
          <w:tcW w:w="4794" w:type="dxa"/>
          <w:vAlign w:val="center"/>
        </w:tcPr>
        <w:p w14:paraId="482D684D" w14:textId="77777777" w:rsidR="0002165D" w:rsidRPr="000000B9" w:rsidRDefault="0002165D" w:rsidP="0002165D">
          <w:pPr>
            <w:pStyle w:val="Cabealho"/>
            <w:spacing w:line="240" w:lineRule="auto"/>
            <w:ind w:right="-742"/>
            <w:jc w:val="right"/>
          </w:pPr>
        </w:p>
      </w:tc>
      <w:tc>
        <w:tcPr>
          <w:tcW w:w="2609" w:type="dxa"/>
          <w:vAlign w:val="center"/>
        </w:tcPr>
        <w:p w14:paraId="11072286" w14:textId="77777777" w:rsidR="0002165D" w:rsidRPr="000000B9" w:rsidRDefault="0002165D" w:rsidP="0002165D">
          <w:pPr>
            <w:pStyle w:val="Cabealho"/>
            <w:spacing w:line="240" w:lineRule="auto"/>
            <w:jc w:val="center"/>
          </w:pPr>
        </w:p>
      </w:tc>
    </w:tr>
  </w:tbl>
  <w:p w14:paraId="55E338BE" w14:textId="78D59EB2" w:rsidR="0002165D" w:rsidRPr="007F63DF" w:rsidRDefault="00F32455" w:rsidP="0002165D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E4D99B7" wp14:editId="7134CAC1">
          <wp:simplePos x="0" y="0"/>
          <wp:positionH relativeFrom="column">
            <wp:posOffset>4120515</wp:posOffset>
          </wp:positionH>
          <wp:positionV relativeFrom="paragraph">
            <wp:posOffset>219075</wp:posOffset>
          </wp:positionV>
          <wp:extent cx="1440000" cy="14400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4BD86" w14:textId="636AD7A3" w:rsidR="0002165D" w:rsidRPr="0002165D" w:rsidRDefault="0002165D" w:rsidP="0002165D">
    <w:pPr>
      <w:pStyle w:val="Cabealho"/>
    </w:pPr>
  </w:p>
  <w:p w14:paraId="0367FDC9" w14:textId="77777777" w:rsidR="00E36D8C" w:rsidRDefault="00E36D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FC3"/>
    <w:multiLevelType w:val="hybridMultilevel"/>
    <w:tmpl w:val="FB14B0DA"/>
    <w:lvl w:ilvl="0" w:tplc="B56448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13A011C0"/>
    <w:multiLevelType w:val="hybridMultilevel"/>
    <w:tmpl w:val="67243578"/>
    <w:lvl w:ilvl="0" w:tplc="1074B4D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808"/>
    <w:multiLevelType w:val="hybridMultilevel"/>
    <w:tmpl w:val="50CE72F0"/>
    <w:lvl w:ilvl="0" w:tplc="14323B2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28950DC4"/>
    <w:multiLevelType w:val="hybridMultilevel"/>
    <w:tmpl w:val="A9522A50"/>
    <w:lvl w:ilvl="0" w:tplc="42FAE0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0638"/>
    <w:multiLevelType w:val="hybridMultilevel"/>
    <w:tmpl w:val="6BC62366"/>
    <w:lvl w:ilvl="0" w:tplc="B01247A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6EC8"/>
    <w:multiLevelType w:val="hybridMultilevel"/>
    <w:tmpl w:val="D416EF98"/>
    <w:lvl w:ilvl="0" w:tplc="92BCCAB4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561D1"/>
    <w:multiLevelType w:val="hybridMultilevel"/>
    <w:tmpl w:val="D8CE00D4"/>
    <w:lvl w:ilvl="0" w:tplc="3406298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E21"/>
    <w:multiLevelType w:val="multilevel"/>
    <w:tmpl w:val="D7E64BFE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E84AB0"/>
    <w:multiLevelType w:val="hybridMultilevel"/>
    <w:tmpl w:val="E6CE3320"/>
    <w:lvl w:ilvl="0" w:tplc="A074ECEA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2956"/>
    <w:multiLevelType w:val="hybridMultilevel"/>
    <w:tmpl w:val="0650797E"/>
    <w:lvl w:ilvl="0" w:tplc="B3D20B66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94CED"/>
    <w:multiLevelType w:val="hybridMultilevel"/>
    <w:tmpl w:val="89006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2D05"/>
    <w:multiLevelType w:val="hybridMultilevel"/>
    <w:tmpl w:val="CF2A0598"/>
    <w:lvl w:ilvl="0" w:tplc="E738E2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3087"/>
    <w:multiLevelType w:val="multilevel"/>
    <w:tmpl w:val="AF5C0F7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906EDD"/>
    <w:multiLevelType w:val="hybridMultilevel"/>
    <w:tmpl w:val="D108B398"/>
    <w:lvl w:ilvl="0" w:tplc="07860D0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F1AA5"/>
    <w:multiLevelType w:val="hybridMultilevel"/>
    <w:tmpl w:val="A74A344E"/>
    <w:lvl w:ilvl="0" w:tplc="D188C86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1104D"/>
    <w:multiLevelType w:val="hybridMultilevel"/>
    <w:tmpl w:val="1C10DC30"/>
    <w:lvl w:ilvl="0" w:tplc="9D984B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73216"/>
    <w:multiLevelType w:val="hybridMultilevel"/>
    <w:tmpl w:val="7C6EF206"/>
    <w:lvl w:ilvl="0" w:tplc="734EF418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3"/>
  </w:num>
  <w:num w:numId="17">
    <w:abstractNumId w:val="12"/>
  </w:num>
  <w:num w:numId="18">
    <w:abstractNumId w:val="19"/>
  </w:num>
  <w:num w:numId="19">
    <w:abstractNumId w:val="11"/>
  </w:num>
  <w:num w:numId="20">
    <w:abstractNumId w:val="2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7E"/>
    <w:rsid w:val="000000B9"/>
    <w:rsid w:val="00001512"/>
    <w:rsid w:val="000074A4"/>
    <w:rsid w:val="00010068"/>
    <w:rsid w:val="0001079B"/>
    <w:rsid w:val="0001087D"/>
    <w:rsid w:val="0001306C"/>
    <w:rsid w:val="00013B14"/>
    <w:rsid w:val="00013F75"/>
    <w:rsid w:val="0002006F"/>
    <w:rsid w:val="00020DAB"/>
    <w:rsid w:val="0002165D"/>
    <w:rsid w:val="000238CB"/>
    <w:rsid w:val="0002680E"/>
    <w:rsid w:val="00030AC4"/>
    <w:rsid w:val="000321CD"/>
    <w:rsid w:val="00033249"/>
    <w:rsid w:val="00034E08"/>
    <w:rsid w:val="000358CF"/>
    <w:rsid w:val="00035CCE"/>
    <w:rsid w:val="000369FF"/>
    <w:rsid w:val="00037750"/>
    <w:rsid w:val="00042515"/>
    <w:rsid w:val="0004265C"/>
    <w:rsid w:val="0004284A"/>
    <w:rsid w:val="0004627C"/>
    <w:rsid w:val="00047404"/>
    <w:rsid w:val="00050A00"/>
    <w:rsid w:val="00052314"/>
    <w:rsid w:val="00056A3C"/>
    <w:rsid w:val="00056E01"/>
    <w:rsid w:val="000611C0"/>
    <w:rsid w:val="0006189D"/>
    <w:rsid w:val="00063EC3"/>
    <w:rsid w:val="00065F9D"/>
    <w:rsid w:val="000710AB"/>
    <w:rsid w:val="00071C15"/>
    <w:rsid w:val="00073BBD"/>
    <w:rsid w:val="00076766"/>
    <w:rsid w:val="0008136C"/>
    <w:rsid w:val="00082348"/>
    <w:rsid w:val="000830D0"/>
    <w:rsid w:val="0008345A"/>
    <w:rsid w:val="000839A0"/>
    <w:rsid w:val="00086E66"/>
    <w:rsid w:val="00092E9F"/>
    <w:rsid w:val="00092F18"/>
    <w:rsid w:val="00093B92"/>
    <w:rsid w:val="00095043"/>
    <w:rsid w:val="000A151C"/>
    <w:rsid w:val="000A6D3A"/>
    <w:rsid w:val="000A7932"/>
    <w:rsid w:val="000B12BC"/>
    <w:rsid w:val="000B2F97"/>
    <w:rsid w:val="000B35E0"/>
    <w:rsid w:val="000B3D32"/>
    <w:rsid w:val="000B75C9"/>
    <w:rsid w:val="000C036C"/>
    <w:rsid w:val="000C20E7"/>
    <w:rsid w:val="000C247D"/>
    <w:rsid w:val="000C35F0"/>
    <w:rsid w:val="000C3662"/>
    <w:rsid w:val="000C3A59"/>
    <w:rsid w:val="000C3D97"/>
    <w:rsid w:val="000C3EA0"/>
    <w:rsid w:val="000C42C1"/>
    <w:rsid w:val="000C6687"/>
    <w:rsid w:val="000D2DF8"/>
    <w:rsid w:val="000D3687"/>
    <w:rsid w:val="000D5476"/>
    <w:rsid w:val="000D7558"/>
    <w:rsid w:val="000E22D9"/>
    <w:rsid w:val="000E4DE2"/>
    <w:rsid w:val="000E7545"/>
    <w:rsid w:val="000F0D30"/>
    <w:rsid w:val="000F1D74"/>
    <w:rsid w:val="000F2C87"/>
    <w:rsid w:val="000F3407"/>
    <w:rsid w:val="000F3A93"/>
    <w:rsid w:val="000F5FA6"/>
    <w:rsid w:val="000F68C6"/>
    <w:rsid w:val="000F7093"/>
    <w:rsid w:val="0010133D"/>
    <w:rsid w:val="001025BC"/>
    <w:rsid w:val="00102BA0"/>
    <w:rsid w:val="00102C6D"/>
    <w:rsid w:val="00105519"/>
    <w:rsid w:val="0010613D"/>
    <w:rsid w:val="00110C9F"/>
    <w:rsid w:val="00112DDA"/>
    <w:rsid w:val="00113BB5"/>
    <w:rsid w:val="00115E29"/>
    <w:rsid w:val="00116EE0"/>
    <w:rsid w:val="0012076A"/>
    <w:rsid w:val="00121A40"/>
    <w:rsid w:val="0012354E"/>
    <w:rsid w:val="00123F3D"/>
    <w:rsid w:val="00126C59"/>
    <w:rsid w:val="00133D86"/>
    <w:rsid w:val="0013463A"/>
    <w:rsid w:val="001348EA"/>
    <w:rsid w:val="00136E88"/>
    <w:rsid w:val="00137795"/>
    <w:rsid w:val="00141664"/>
    <w:rsid w:val="00141869"/>
    <w:rsid w:val="00141D69"/>
    <w:rsid w:val="00143B11"/>
    <w:rsid w:val="00146184"/>
    <w:rsid w:val="0014645E"/>
    <w:rsid w:val="00146DC3"/>
    <w:rsid w:val="00147153"/>
    <w:rsid w:val="00147791"/>
    <w:rsid w:val="00150579"/>
    <w:rsid w:val="00150D03"/>
    <w:rsid w:val="00151ACA"/>
    <w:rsid w:val="00155A2E"/>
    <w:rsid w:val="00157621"/>
    <w:rsid w:val="0016093F"/>
    <w:rsid w:val="00160A57"/>
    <w:rsid w:val="00160E09"/>
    <w:rsid w:val="00165423"/>
    <w:rsid w:val="001665F6"/>
    <w:rsid w:val="0016660B"/>
    <w:rsid w:val="00166D5F"/>
    <w:rsid w:val="00173304"/>
    <w:rsid w:val="00173E2F"/>
    <w:rsid w:val="001751C6"/>
    <w:rsid w:val="0017603D"/>
    <w:rsid w:val="0017665C"/>
    <w:rsid w:val="00176DC4"/>
    <w:rsid w:val="001775A6"/>
    <w:rsid w:val="001819A4"/>
    <w:rsid w:val="00184583"/>
    <w:rsid w:val="0019064F"/>
    <w:rsid w:val="00192AF1"/>
    <w:rsid w:val="00196D13"/>
    <w:rsid w:val="001A25FC"/>
    <w:rsid w:val="001A2F33"/>
    <w:rsid w:val="001A3CE4"/>
    <w:rsid w:val="001A3D36"/>
    <w:rsid w:val="001A61F4"/>
    <w:rsid w:val="001B44AC"/>
    <w:rsid w:val="001B7211"/>
    <w:rsid w:val="001B72EB"/>
    <w:rsid w:val="001B73F7"/>
    <w:rsid w:val="001C039C"/>
    <w:rsid w:val="001C1466"/>
    <w:rsid w:val="001C388A"/>
    <w:rsid w:val="001D082C"/>
    <w:rsid w:val="001D20AC"/>
    <w:rsid w:val="001D2D55"/>
    <w:rsid w:val="001D3370"/>
    <w:rsid w:val="001D3A72"/>
    <w:rsid w:val="001D3C1B"/>
    <w:rsid w:val="001D4FA0"/>
    <w:rsid w:val="001D503F"/>
    <w:rsid w:val="001D7767"/>
    <w:rsid w:val="001D777C"/>
    <w:rsid w:val="001E07B8"/>
    <w:rsid w:val="001E0858"/>
    <w:rsid w:val="001E086E"/>
    <w:rsid w:val="001E498A"/>
    <w:rsid w:val="001E5A58"/>
    <w:rsid w:val="001E69C7"/>
    <w:rsid w:val="001E6C70"/>
    <w:rsid w:val="001F04F5"/>
    <w:rsid w:val="001F3085"/>
    <w:rsid w:val="001F4168"/>
    <w:rsid w:val="001F70E8"/>
    <w:rsid w:val="001F78AB"/>
    <w:rsid w:val="00202D76"/>
    <w:rsid w:val="00203E67"/>
    <w:rsid w:val="00204B62"/>
    <w:rsid w:val="00206EB6"/>
    <w:rsid w:val="00207881"/>
    <w:rsid w:val="00211846"/>
    <w:rsid w:val="0021247E"/>
    <w:rsid w:val="00212754"/>
    <w:rsid w:val="00213AE6"/>
    <w:rsid w:val="00216222"/>
    <w:rsid w:val="00217709"/>
    <w:rsid w:val="00222CFA"/>
    <w:rsid w:val="00225219"/>
    <w:rsid w:val="00226228"/>
    <w:rsid w:val="00226465"/>
    <w:rsid w:val="00226C70"/>
    <w:rsid w:val="00227986"/>
    <w:rsid w:val="00234BE0"/>
    <w:rsid w:val="002373C0"/>
    <w:rsid w:val="0023771F"/>
    <w:rsid w:val="00244DE9"/>
    <w:rsid w:val="00245547"/>
    <w:rsid w:val="00246C06"/>
    <w:rsid w:val="002519B2"/>
    <w:rsid w:val="00252621"/>
    <w:rsid w:val="00252DC9"/>
    <w:rsid w:val="00254704"/>
    <w:rsid w:val="00261621"/>
    <w:rsid w:val="002628E0"/>
    <w:rsid w:val="00264032"/>
    <w:rsid w:val="00264A79"/>
    <w:rsid w:val="00266DEF"/>
    <w:rsid w:val="00270274"/>
    <w:rsid w:val="002715ED"/>
    <w:rsid w:val="00271FF1"/>
    <w:rsid w:val="00272B62"/>
    <w:rsid w:val="00275B22"/>
    <w:rsid w:val="00280D4A"/>
    <w:rsid w:val="00281414"/>
    <w:rsid w:val="00282CB8"/>
    <w:rsid w:val="0028590C"/>
    <w:rsid w:val="00290B4E"/>
    <w:rsid w:val="00290EF5"/>
    <w:rsid w:val="00291BD1"/>
    <w:rsid w:val="00292BFF"/>
    <w:rsid w:val="00293BA6"/>
    <w:rsid w:val="00295360"/>
    <w:rsid w:val="00295483"/>
    <w:rsid w:val="00296025"/>
    <w:rsid w:val="0029602F"/>
    <w:rsid w:val="00296B74"/>
    <w:rsid w:val="002A0340"/>
    <w:rsid w:val="002A0BED"/>
    <w:rsid w:val="002B2379"/>
    <w:rsid w:val="002B2DA9"/>
    <w:rsid w:val="002B3318"/>
    <w:rsid w:val="002B5EDF"/>
    <w:rsid w:val="002B6160"/>
    <w:rsid w:val="002C092F"/>
    <w:rsid w:val="002C0AD5"/>
    <w:rsid w:val="002C2F74"/>
    <w:rsid w:val="002C5F2D"/>
    <w:rsid w:val="002D07B1"/>
    <w:rsid w:val="002D23B8"/>
    <w:rsid w:val="002D3D47"/>
    <w:rsid w:val="002D43CF"/>
    <w:rsid w:val="002D576F"/>
    <w:rsid w:val="002D6F32"/>
    <w:rsid w:val="002D7B3C"/>
    <w:rsid w:val="002E021D"/>
    <w:rsid w:val="002E03DC"/>
    <w:rsid w:val="002E05B5"/>
    <w:rsid w:val="002E1D3A"/>
    <w:rsid w:val="002E1F18"/>
    <w:rsid w:val="002E2CD9"/>
    <w:rsid w:val="002E2EDB"/>
    <w:rsid w:val="002E39FA"/>
    <w:rsid w:val="002E7166"/>
    <w:rsid w:val="002F0693"/>
    <w:rsid w:val="002F06E1"/>
    <w:rsid w:val="002F35F0"/>
    <w:rsid w:val="002F4133"/>
    <w:rsid w:val="002F41B9"/>
    <w:rsid w:val="002F4634"/>
    <w:rsid w:val="002F48E8"/>
    <w:rsid w:val="002F491C"/>
    <w:rsid w:val="002F624C"/>
    <w:rsid w:val="002F65B6"/>
    <w:rsid w:val="003014E5"/>
    <w:rsid w:val="00301F6E"/>
    <w:rsid w:val="003058F0"/>
    <w:rsid w:val="00305B2B"/>
    <w:rsid w:val="0030627E"/>
    <w:rsid w:val="00310F48"/>
    <w:rsid w:val="00315452"/>
    <w:rsid w:val="00315840"/>
    <w:rsid w:val="00315B0C"/>
    <w:rsid w:val="00320BDA"/>
    <w:rsid w:val="00320C24"/>
    <w:rsid w:val="00322BF1"/>
    <w:rsid w:val="0032612D"/>
    <w:rsid w:val="00326A94"/>
    <w:rsid w:val="00332126"/>
    <w:rsid w:val="00332EE7"/>
    <w:rsid w:val="00334651"/>
    <w:rsid w:val="00335742"/>
    <w:rsid w:val="003368EF"/>
    <w:rsid w:val="00336DCD"/>
    <w:rsid w:val="00340B3A"/>
    <w:rsid w:val="003411CD"/>
    <w:rsid w:val="0034177F"/>
    <w:rsid w:val="0034235E"/>
    <w:rsid w:val="00342BEB"/>
    <w:rsid w:val="00343496"/>
    <w:rsid w:val="00346E90"/>
    <w:rsid w:val="003515AD"/>
    <w:rsid w:val="00352C55"/>
    <w:rsid w:val="00354CAE"/>
    <w:rsid w:val="00355AE3"/>
    <w:rsid w:val="0036123E"/>
    <w:rsid w:val="00364429"/>
    <w:rsid w:val="00364BE8"/>
    <w:rsid w:val="00367533"/>
    <w:rsid w:val="00370A6E"/>
    <w:rsid w:val="00371023"/>
    <w:rsid w:val="00371034"/>
    <w:rsid w:val="00372353"/>
    <w:rsid w:val="003724DB"/>
    <w:rsid w:val="003805E0"/>
    <w:rsid w:val="0038267B"/>
    <w:rsid w:val="00382713"/>
    <w:rsid w:val="003828A6"/>
    <w:rsid w:val="00385B2B"/>
    <w:rsid w:val="00387FB7"/>
    <w:rsid w:val="00390141"/>
    <w:rsid w:val="00392C91"/>
    <w:rsid w:val="00393061"/>
    <w:rsid w:val="003957E7"/>
    <w:rsid w:val="003958FE"/>
    <w:rsid w:val="00396A26"/>
    <w:rsid w:val="003A0225"/>
    <w:rsid w:val="003A0DAD"/>
    <w:rsid w:val="003A1C2B"/>
    <w:rsid w:val="003A2E0E"/>
    <w:rsid w:val="003A3EC2"/>
    <w:rsid w:val="003A447C"/>
    <w:rsid w:val="003A6634"/>
    <w:rsid w:val="003B03CA"/>
    <w:rsid w:val="003B0B73"/>
    <w:rsid w:val="003B39CE"/>
    <w:rsid w:val="003B4FE3"/>
    <w:rsid w:val="003B5522"/>
    <w:rsid w:val="003B5B51"/>
    <w:rsid w:val="003B5CB3"/>
    <w:rsid w:val="003B5F72"/>
    <w:rsid w:val="003B618E"/>
    <w:rsid w:val="003C0343"/>
    <w:rsid w:val="003C15F4"/>
    <w:rsid w:val="003C1C41"/>
    <w:rsid w:val="003C1FD9"/>
    <w:rsid w:val="003C47B8"/>
    <w:rsid w:val="003C543F"/>
    <w:rsid w:val="003C649C"/>
    <w:rsid w:val="003C681C"/>
    <w:rsid w:val="003C7278"/>
    <w:rsid w:val="003D034E"/>
    <w:rsid w:val="003D1E42"/>
    <w:rsid w:val="003D331B"/>
    <w:rsid w:val="003D3B43"/>
    <w:rsid w:val="003D7000"/>
    <w:rsid w:val="003D745E"/>
    <w:rsid w:val="003E0C76"/>
    <w:rsid w:val="003E1B29"/>
    <w:rsid w:val="003E1CDC"/>
    <w:rsid w:val="003E2344"/>
    <w:rsid w:val="003E2EB4"/>
    <w:rsid w:val="003E2F76"/>
    <w:rsid w:val="003E3E41"/>
    <w:rsid w:val="003E61D1"/>
    <w:rsid w:val="003E6214"/>
    <w:rsid w:val="003F0051"/>
    <w:rsid w:val="003F1C1F"/>
    <w:rsid w:val="003F5B15"/>
    <w:rsid w:val="004009D1"/>
    <w:rsid w:val="00401231"/>
    <w:rsid w:val="00401628"/>
    <w:rsid w:val="004023B2"/>
    <w:rsid w:val="00402C09"/>
    <w:rsid w:val="004042C4"/>
    <w:rsid w:val="0040453D"/>
    <w:rsid w:val="00404A9A"/>
    <w:rsid w:val="00407114"/>
    <w:rsid w:val="00407E59"/>
    <w:rsid w:val="00407E6B"/>
    <w:rsid w:val="00410C78"/>
    <w:rsid w:val="00411961"/>
    <w:rsid w:val="0041571B"/>
    <w:rsid w:val="00416FBA"/>
    <w:rsid w:val="00417136"/>
    <w:rsid w:val="00420CF8"/>
    <w:rsid w:val="00420E44"/>
    <w:rsid w:val="00421C5B"/>
    <w:rsid w:val="00421EAE"/>
    <w:rsid w:val="004234B7"/>
    <w:rsid w:val="0042701F"/>
    <w:rsid w:val="00427FB8"/>
    <w:rsid w:val="00432716"/>
    <w:rsid w:val="00432878"/>
    <w:rsid w:val="004350A5"/>
    <w:rsid w:val="0043606C"/>
    <w:rsid w:val="004368FE"/>
    <w:rsid w:val="004419FA"/>
    <w:rsid w:val="0044314B"/>
    <w:rsid w:val="0044531B"/>
    <w:rsid w:val="00450274"/>
    <w:rsid w:val="00450BBC"/>
    <w:rsid w:val="00451604"/>
    <w:rsid w:val="004531A1"/>
    <w:rsid w:val="00454849"/>
    <w:rsid w:val="004574D7"/>
    <w:rsid w:val="00462410"/>
    <w:rsid w:val="004628AC"/>
    <w:rsid w:val="00463F31"/>
    <w:rsid w:val="004655B0"/>
    <w:rsid w:val="004663D9"/>
    <w:rsid w:val="00466DC2"/>
    <w:rsid w:val="00467963"/>
    <w:rsid w:val="0047054F"/>
    <w:rsid w:val="00470DE9"/>
    <w:rsid w:val="0047408C"/>
    <w:rsid w:val="00474504"/>
    <w:rsid w:val="00477CD1"/>
    <w:rsid w:val="0048495F"/>
    <w:rsid w:val="00485CE6"/>
    <w:rsid w:val="00485FC9"/>
    <w:rsid w:val="00486C4F"/>
    <w:rsid w:val="00487CD2"/>
    <w:rsid w:val="00492580"/>
    <w:rsid w:val="004929FB"/>
    <w:rsid w:val="0049713D"/>
    <w:rsid w:val="004A51BA"/>
    <w:rsid w:val="004B471C"/>
    <w:rsid w:val="004B5BA3"/>
    <w:rsid w:val="004B5E43"/>
    <w:rsid w:val="004C1296"/>
    <w:rsid w:val="004C3D24"/>
    <w:rsid w:val="004C464E"/>
    <w:rsid w:val="004C584B"/>
    <w:rsid w:val="004C69A5"/>
    <w:rsid w:val="004C6A4E"/>
    <w:rsid w:val="004D1D4B"/>
    <w:rsid w:val="004D2B99"/>
    <w:rsid w:val="004D5679"/>
    <w:rsid w:val="004D581A"/>
    <w:rsid w:val="004E1C92"/>
    <w:rsid w:val="004E3F85"/>
    <w:rsid w:val="004E5535"/>
    <w:rsid w:val="004E5EE3"/>
    <w:rsid w:val="004E6DCD"/>
    <w:rsid w:val="004F03B8"/>
    <w:rsid w:val="004F1AEF"/>
    <w:rsid w:val="004F2C93"/>
    <w:rsid w:val="004F59D6"/>
    <w:rsid w:val="00502321"/>
    <w:rsid w:val="0050385A"/>
    <w:rsid w:val="005038AA"/>
    <w:rsid w:val="00505185"/>
    <w:rsid w:val="00505B49"/>
    <w:rsid w:val="005113B6"/>
    <w:rsid w:val="0051509C"/>
    <w:rsid w:val="005164AA"/>
    <w:rsid w:val="005241E1"/>
    <w:rsid w:val="00526870"/>
    <w:rsid w:val="00527612"/>
    <w:rsid w:val="005277DE"/>
    <w:rsid w:val="0053123C"/>
    <w:rsid w:val="00533A3F"/>
    <w:rsid w:val="00533EAB"/>
    <w:rsid w:val="00534622"/>
    <w:rsid w:val="00535267"/>
    <w:rsid w:val="005355C1"/>
    <w:rsid w:val="00542B10"/>
    <w:rsid w:val="00542DB0"/>
    <w:rsid w:val="005437CF"/>
    <w:rsid w:val="0054384A"/>
    <w:rsid w:val="005449EC"/>
    <w:rsid w:val="00545D72"/>
    <w:rsid w:val="00546833"/>
    <w:rsid w:val="00547A38"/>
    <w:rsid w:val="00550098"/>
    <w:rsid w:val="00551278"/>
    <w:rsid w:val="005532BD"/>
    <w:rsid w:val="0055398C"/>
    <w:rsid w:val="005574BA"/>
    <w:rsid w:val="00567229"/>
    <w:rsid w:val="00570E08"/>
    <w:rsid w:val="00572416"/>
    <w:rsid w:val="00572764"/>
    <w:rsid w:val="00573CD3"/>
    <w:rsid w:val="0058028D"/>
    <w:rsid w:val="00580A70"/>
    <w:rsid w:val="00582034"/>
    <w:rsid w:val="00585D7C"/>
    <w:rsid w:val="0058602C"/>
    <w:rsid w:val="005875D9"/>
    <w:rsid w:val="00587B12"/>
    <w:rsid w:val="005903BD"/>
    <w:rsid w:val="00590B09"/>
    <w:rsid w:val="00590B1C"/>
    <w:rsid w:val="00591333"/>
    <w:rsid w:val="00591629"/>
    <w:rsid w:val="0059212E"/>
    <w:rsid w:val="005934B1"/>
    <w:rsid w:val="00594316"/>
    <w:rsid w:val="00594376"/>
    <w:rsid w:val="00594D7B"/>
    <w:rsid w:val="00594D98"/>
    <w:rsid w:val="005969A4"/>
    <w:rsid w:val="005A18CE"/>
    <w:rsid w:val="005A4C5F"/>
    <w:rsid w:val="005A54F9"/>
    <w:rsid w:val="005A55C7"/>
    <w:rsid w:val="005A66B8"/>
    <w:rsid w:val="005A7123"/>
    <w:rsid w:val="005B1038"/>
    <w:rsid w:val="005B109E"/>
    <w:rsid w:val="005B2624"/>
    <w:rsid w:val="005B289D"/>
    <w:rsid w:val="005B3F9D"/>
    <w:rsid w:val="005B4A28"/>
    <w:rsid w:val="005B4C11"/>
    <w:rsid w:val="005B50BF"/>
    <w:rsid w:val="005B72CD"/>
    <w:rsid w:val="005B77DE"/>
    <w:rsid w:val="005B7E37"/>
    <w:rsid w:val="005B7F7E"/>
    <w:rsid w:val="005C3D3A"/>
    <w:rsid w:val="005C3F4D"/>
    <w:rsid w:val="005C68DA"/>
    <w:rsid w:val="005C6F7A"/>
    <w:rsid w:val="005D0B48"/>
    <w:rsid w:val="005D2D04"/>
    <w:rsid w:val="005D4835"/>
    <w:rsid w:val="005D4CBE"/>
    <w:rsid w:val="005D63E1"/>
    <w:rsid w:val="005D7864"/>
    <w:rsid w:val="005E02D8"/>
    <w:rsid w:val="005E1A86"/>
    <w:rsid w:val="005E33A8"/>
    <w:rsid w:val="005F001C"/>
    <w:rsid w:val="005F1FD9"/>
    <w:rsid w:val="005F284A"/>
    <w:rsid w:val="005F2D98"/>
    <w:rsid w:val="005F41F1"/>
    <w:rsid w:val="005F4A11"/>
    <w:rsid w:val="005F5455"/>
    <w:rsid w:val="005F5479"/>
    <w:rsid w:val="005F5AE1"/>
    <w:rsid w:val="005F600A"/>
    <w:rsid w:val="00600D20"/>
    <w:rsid w:val="006030BE"/>
    <w:rsid w:val="00604CBD"/>
    <w:rsid w:val="00604DB5"/>
    <w:rsid w:val="00611313"/>
    <w:rsid w:val="006177CF"/>
    <w:rsid w:val="00617D42"/>
    <w:rsid w:val="00620367"/>
    <w:rsid w:val="00620CCE"/>
    <w:rsid w:val="0062259B"/>
    <w:rsid w:val="00622683"/>
    <w:rsid w:val="00625108"/>
    <w:rsid w:val="00626820"/>
    <w:rsid w:val="006342D3"/>
    <w:rsid w:val="006344B6"/>
    <w:rsid w:val="00637668"/>
    <w:rsid w:val="00637B8D"/>
    <w:rsid w:val="00640C36"/>
    <w:rsid w:val="00641A35"/>
    <w:rsid w:val="00644325"/>
    <w:rsid w:val="0064607A"/>
    <w:rsid w:val="00652A04"/>
    <w:rsid w:val="00654FF6"/>
    <w:rsid w:val="00656D86"/>
    <w:rsid w:val="006616CF"/>
    <w:rsid w:val="00662AD9"/>
    <w:rsid w:val="0066457D"/>
    <w:rsid w:val="0066513A"/>
    <w:rsid w:val="00665A52"/>
    <w:rsid w:val="00666AD2"/>
    <w:rsid w:val="00667A68"/>
    <w:rsid w:val="00667FBD"/>
    <w:rsid w:val="0067092F"/>
    <w:rsid w:val="00672612"/>
    <w:rsid w:val="00673C3E"/>
    <w:rsid w:val="00674B48"/>
    <w:rsid w:val="006779A5"/>
    <w:rsid w:val="00683266"/>
    <w:rsid w:val="006833E1"/>
    <w:rsid w:val="00684AC8"/>
    <w:rsid w:val="00687CE0"/>
    <w:rsid w:val="00695AEA"/>
    <w:rsid w:val="0069620D"/>
    <w:rsid w:val="006963DD"/>
    <w:rsid w:val="006A1954"/>
    <w:rsid w:val="006A518A"/>
    <w:rsid w:val="006A5F22"/>
    <w:rsid w:val="006A741C"/>
    <w:rsid w:val="006B3A81"/>
    <w:rsid w:val="006B3B45"/>
    <w:rsid w:val="006B3F73"/>
    <w:rsid w:val="006B4894"/>
    <w:rsid w:val="006B7DD4"/>
    <w:rsid w:val="006C1F7B"/>
    <w:rsid w:val="006C3011"/>
    <w:rsid w:val="006C3EFA"/>
    <w:rsid w:val="006D27DD"/>
    <w:rsid w:val="006D31E6"/>
    <w:rsid w:val="006D33F8"/>
    <w:rsid w:val="006D4756"/>
    <w:rsid w:val="006D4C1E"/>
    <w:rsid w:val="006D5C24"/>
    <w:rsid w:val="006D5F8C"/>
    <w:rsid w:val="006D6F05"/>
    <w:rsid w:val="006D71B0"/>
    <w:rsid w:val="006E0F3F"/>
    <w:rsid w:val="006E1B92"/>
    <w:rsid w:val="006E25B4"/>
    <w:rsid w:val="006F0BE1"/>
    <w:rsid w:val="006F2B27"/>
    <w:rsid w:val="006F340E"/>
    <w:rsid w:val="006F378E"/>
    <w:rsid w:val="006F4C22"/>
    <w:rsid w:val="006F4F87"/>
    <w:rsid w:val="006F5377"/>
    <w:rsid w:val="006F68EB"/>
    <w:rsid w:val="007056C5"/>
    <w:rsid w:val="00706BFB"/>
    <w:rsid w:val="00707250"/>
    <w:rsid w:val="007076B2"/>
    <w:rsid w:val="00707CEA"/>
    <w:rsid w:val="00710EFE"/>
    <w:rsid w:val="007125CA"/>
    <w:rsid w:val="00712C1E"/>
    <w:rsid w:val="00714530"/>
    <w:rsid w:val="00715542"/>
    <w:rsid w:val="007167A6"/>
    <w:rsid w:val="00720C62"/>
    <w:rsid w:val="00720E77"/>
    <w:rsid w:val="00721827"/>
    <w:rsid w:val="00721F3B"/>
    <w:rsid w:val="00722A86"/>
    <w:rsid w:val="007236DE"/>
    <w:rsid w:val="00725530"/>
    <w:rsid w:val="00725576"/>
    <w:rsid w:val="007262FA"/>
    <w:rsid w:val="00726418"/>
    <w:rsid w:val="0072641A"/>
    <w:rsid w:val="0072714C"/>
    <w:rsid w:val="0072794D"/>
    <w:rsid w:val="00730AE8"/>
    <w:rsid w:val="00730EED"/>
    <w:rsid w:val="00731A85"/>
    <w:rsid w:val="00733E5C"/>
    <w:rsid w:val="00733F21"/>
    <w:rsid w:val="00735ED7"/>
    <w:rsid w:val="00737360"/>
    <w:rsid w:val="00737707"/>
    <w:rsid w:val="00740503"/>
    <w:rsid w:val="00740BB3"/>
    <w:rsid w:val="00741E59"/>
    <w:rsid w:val="00744EDB"/>
    <w:rsid w:val="00745C57"/>
    <w:rsid w:val="00746B82"/>
    <w:rsid w:val="00750432"/>
    <w:rsid w:val="007517C4"/>
    <w:rsid w:val="00754EC6"/>
    <w:rsid w:val="00757143"/>
    <w:rsid w:val="007607FF"/>
    <w:rsid w:val="0076167F"/>
    <w:rsid w:val="00761E96"/>
    <w:rsid w:val="007645AC"/>
    <w:rsid w:val="00764AC2"/>
    <w:rsid w:val="00765150"/>
    <w:rsid w:val="00765C2A"/>
    <w:rsid w:val="0077032E"/>
    <w:rsid w:val="00774A07"/>
    <w:rsid w:val="00775B68"/>
    <w:rsid w:val="00777C5E"/>
    <w:rsid w:val="00781E2F"/>
    <w:rsid w:val="0078331F"/>
    <w:rsid w:val="007864E9"/>
    <w:rsid w:val="0078667E"/>
    <w:rsid w:val="00790176"/>
    <w:rsid w:val="00790D49"/>
    <w:rsid w:val="007921E8"/>
    <w:rsid w:val="00792525"/>
    <w:rsid w:val="00793E09"/>
    <w:rsid w:val="0079693C"/>
    <w:rsid w:val="00797BC7"/>
    <w:rsid w:val="007A09E9"/>
    <w:rsid w:val="007A17D6"/>
    <w:rsid w:val="007A2C10"/>
    <w:rsid w:val="007B3DFA"/>
    <w:rsid w:val="007B5591"/>
    <w:rsid w:val="007B563E"/>
    <w:rsid w:val="007B633C"/>
    <w:rsid w:val="007B6A00"/>
    <w:rsid w:val="007B7E50"/>
    <w:rsid w:val="007C041F"/>
    <w:rsid w:val="007C0FA9"/>
    <w:rsid w:val="007C1B65"/>
    <w:rsid w:val="007C2FD3"/>
    <w:rsid w:val="007C471C"/>
    <w:rsid w:val="007C557A"/>
    <w:rsid w:val="007C5604"/>
    <w:rsid w:val="007C76E8"/>
    <w:rsid w:val="007D1AB9"/>
    <w:rsid w:val="007D34AB"/>
    <w:rsid w:val="007D3C19"/>
    <w:rsid w:val="007D6ACA"/>
    <w:rsid w:val="007E1D86"/>
    <w:rsid w:val="007E29B8"/>
    <w:rsid w:val="007E38FB"/>
    <w:rsid w:val="007E53B2"/>
    <w:rsid w:val="007E5B5A"/>
    <w:rsid w:val="007E5F24"/>
    <w:rsid w:val="007E5FA2"/>
    <w:rsid w:val="007E7967"/>
    <w:rsid w:val="007F10D7"/>
    <w:rsid w:val="007F405D"/>
    <w:rsid w:val="007F4353"/>
    <w:rsid w:val="007F4806"/>
    <w:rsid w:val="007F58A8"/>
    <w:rsid w:val="007F63DF"/>
    <w:rsid w:val="007F6A50"/>
    <w:rsid w:val="00801CBC"/>
    <w:rsid w:val="0080247C"/>
    <w:rsid w:val="008032CF"/>
    <w:rsid w:val="00803D04"/>
    <w:rsid w:val="00804339"/>
    <w:rsid w:val="008047B2"/>
    <w:rsid w:val="00805C02"/>
    <w:rsid w:val="00806388"/>
    <w:rsid w:val="008106A5"/>
    <w:rsid w:val="00810D87"/>
    <w:rsid w:val="008113A0"/>
    <w:rsid w:val="00817454"/>
    <w:rsid w:val="008177FF"/>
    <w:rsid w:val="00820576"/>
    <w:rsid w:val="00820703"/>
    <w:rsid w:val="00821696"/>
    <w:rsid w:val="008224A8"/>
    <w:rsid w:val="00822C28"/>
    <w:rsid w:val="00822D65"/>
    <w:rsid w:val="00824985"/>
    <w:rsid w:val="008325F3"/>
    <w:rsid w:val="00833519"/>
    <w:rsid w:val="008348EB"/>
    <w:rsid w:val="00835411"/>
    <w:rsid w:val="008410F5"/>
    <w:rsid w:val="00841727"/>
    <w:rsid w:val="00841BDF"/>
    <w:rsid w:val="008423FC"/>
    <w:rsid w:val="008438AF"/>
    <w:rsid w:val="008455A8"/>
    <w:rsid w:val="00851D5B"/>
    <w:rsid w:val="0085241A"/>
    <w:rsid w:val="008538D3"/>
    <w:rsid w:val="00856138"/>
    <w:rsid w:val="00856D58"/>
    <w:rsid w:val="008571F1"/>
    <w:rsid w:val="00863133"/>
    <w:rsid w:val="00863F3F"/>
    <w:rsid w:val="0086663C"/>
    <w:rsid w:val="00867C2F"/>
    <w:rsid w:val="0087294C"/>
    <w:rsid w:val="008800B6"/>
    <w:rsid w:val="008801E9"/>
    <w:rsid w:val="008837B9"/>
    <w:rsid w:val="0088545E"/>
    <w:rsid w:val="008857EB"/>
    <w:rsid w:val="00886384"/>
    <w:rsid w:val="008864F5"/>
    <w:rsid w:val="0089034E"/>
    <w:rsid w:val="00893512"/>
    <w:rsid w:val="00893F8D"/>
    <w:rsid w:val="00895C28"/>
    <w:rsid w:val="00895DF6"/>
    <w:rsid w:val="00897617"/>
    <w:rsid w:val="008A2E60"/>
    <w:rsid w:val="008A4236"/>
    <w:rsid w:val="008A4B76"/>
    <w:rsid w:val="008A4C6E"/>
    <w:rsid w:val="008A5172"/>
    <w:rsid w:val="008A7D01"/>
    <w:rsid w:val="008B03D9"/>
    <w:rsid w:val="008B1798"/>
    <w:rsid w:val="008B4A5D"/>
    <w:rsid w:val="008B5937"/>
    <w:rsid w:val="008B6EDA"/>
    <w:rsid w:val="008C2EEF"/>
    <w:rsid w:val="008C2FC8"/>
    <w:rsid w:val="008C4751"/>
    <w:rsid w:val="008C4B12"/>
    <w:rsid w:val="008C5186"/>
    <w:rsid w:val="008C5555"/>
    <w:rsid w:val="008C5954"/>
    <w:rsid w:val="008C5DEC"/>
    <w:rsid w:val="008D0257"/>
    <w:rsid w:val="008D04D4"/>
    <w:rsid w:val="008D123C"/>
    <w:rsid w:val="008D16EE"/>
    <w:rsid w:val="008D1A4A"/>
    <w:rsid w:val="008D1B32"/>
    <w:rsid w:val="008D47D2"/>
    <w:rsid w:val="008D4919"/>
    <w:rsid w:val="008D5749"/>
    <w:rsid w:val="008E242D"/>
    <w:rsid w:val="008E2CC7"/>
    <w:rsid w:val="008E4B21"/>
    <w:rsid w:val="008E577A"/>
    <w:rsid w:val="008F0461"/>
    <w:rsid w:val="008F18A7"/>
    <w:rsid w:val="008F197F"/>
    <w:rsid w:val="008F36B0"/>
    <w:rsid w:val="008F3EFD"/>
    <w:rsid w:val="008F4A10"/>
    <w:rsid w:val="008F4FB8"/>
    <w:rsid w:val="008F4FCA"/>
    <w:rsid w:val="009029BC"/>
    <w:rsid w:val="00907EAD"/>
    <w:rsid w:val="00911F26"/>
    <w:rsid w:val="00914866"/>
    <w:rsid w:val="00914BBD"/>
    <w:rsid w:val="00914FB1"/>
    <w:rsid w:val="00916710"/>
    <w:rsid w:val="00916CC4"/>
    <w:rsid w:val="009172DF"/>
    <w:rsid w:val="009178F5"/>
    <w:rsid w:val="00920503"/>
    <w:rsid w:val="00925C03"/>
    <w:rsid w:val="00926B68"/>
    <w:rsid w:val="0092754A"/>
    <w:rsid w:val="00927A54"/>
    <w:rsid w:val="009301EC"/>
    <w:rsid w:val="00930EE3"/>
    <w:rsid w:val="00930F13"/>
    <w:rsid w:val="0093257C"/>
    <w:rsid w:val="009350E8"/>
    <w:rsid w:val="00935A73"/>
    <w:rsid w:val="00935EF3"/>
    <w:rsid w:val="00940037"/>
    <w:rsid w:val="009412CC"/>
    <w:rsid w:val="00941735"/>
    <w:rsid w:val="009428AF"/>
    <w:rsid w:val="009444D6"/>
    <w:rsid w:val="00946368"/>
    <w:rsid w:val="0094748D"/>
    <w:rsid w:val="00947BFF"/>
    <w:rsid w:val="00947C41"/>
    <w:rsid w:val="00951B2B"/>
    <w:rsid w:val="00955812"/>
    <w:rsid w:val="00956C13"/>
    <w:rsid w:val="00960880"/>
    <w:rsid w:val="00961A40"/>
    <w:rsid w:val="00961A5F"/>
    <w:rsid w:val="00962765"/>
    <w:rsid w:val="0096406F"/>
    <w:rsid w:val="0096535C"/>
    <w:rsid w:val="00966E91"/>
    <w:rsid w:val="0096704F"/>
    <w:rsid w:val="00970691"/>
    <w:rsid w:val="009720A6"/>
    <w:rsid w:val="00972F82"/>
    <w:rsid w:val="0098137C"/>
    <w:rsid w:val="00981B7E"/>
    <w:rsid w:val="00983357"/>
    <w:rsid w:val="009844C6"/>
    <w:rsid w:val="00985AB6"/>
    <w:rsid w:val="00985BBA"/>
    <w:rsid w:val="009879F3"/>
    <w:rsid w:val="009904B4"/>
    <w:rsid w:val="00992134"/>
    <w:rsid w:val="00992C1C"/>
    <w:rsid w:val="009A06ED"/>
    <w:rsid w:val="009A18A3"/>
    <w:rsid w:val="009A36AA"/>
    <w:rsid w:val="009A483E"/>
    <w:rsid w:val="009A60B0"/>
    <w:rsid w:val="009A6AEF"/>
    <w:rsid w:val="009A72EE"/>
    <w:rsid w:val="009B0A38"/>
    <w:rsid w:val="009B1AF7"/>
    <w:rsid w:val="009B29BC"/>
    <w:rsid w:val="009B2FEE"/>
    <w:rsid w:val="009B3365"/>
    <w:rsid w:val="009B4640"/>
    <w:rsid w:val="009B46E5"/>
    <w:rsid w:val="009B55EE"/>
    <w:rsid w:val="009B76E8"/>
    <w:rsid w:val="009C412C"/>
    <w:rsid w:val="009C7369"/>
    <w:rsid w:val="009D1A28"/>
    <w:rsid w:val="009D22BA"/>
    <w:rsid w:val="009D27E7"/>
    <w:rsid w:val="009D5365"/>
    <w:rsid w:val="009E13CF"/>
    <w:rsid w:val="009E3E7F"/>
    <w:rsid w:val="009E4B76"/>
    <w:rsid w:val="009E5F66"/>
    <w:rsid w:val="009E6792"/>
    <w:rsid w:val="009F2E68"/>
    <w:rsid w:val="009F3235"/>
    <w:rsid w:val="009F51DC"/>
    <w:rsid w:val="009F6C79"/>
    <w:rsid w:val="00A05EE8"/>
    <w:rsid w:val="00A104A3"/>
    <w:rsid w:val="00A10EA9"/>
    <w:rsid w:val="00A1100E"/>
    <w:rsid w:val="00A11A91"/>
    <w:rsid w:val="00A161F7"/>
    <w:rsid w:val="00A16D27"/>
    <w:rsid w:val="00A203B1"/>
    <w:rsid w:val="00A239FE"/>
    <w:rsid w:val="00A24DBB"/>
    <w:rsid w:val="00A34729"/>
    <w:rsid w:val="00A355C4"/>
    <w:rsid w:val="00A36C02"/>
    <w:rsid w:val="00A42BFA"/>
    <w:rsid w:val="00A4419C"/>
    <w:rsid w:val="00A45962"/>
    <w:rsid w:val="00A45AEB"/>
    <w:rsid w:val="00A56829"/>
    <w:rsid w:val="00A57CC1"/>
    <w:rsid w:val="00A60CB8"/>
    <w:rsid w:val="00A62145"/>
    <w:rsid w:val="00A63902"/>
    <w:rsid w:val="00A6419B"/>
    <w:rsid w:val="00A662B8"/>
    <w:rsid w:val="00A7145A"/>
    <w:rsid w:val="00A746C8"/>
    <w:rsid w:val="00A75150"/>
    <w:rsid w:val="00A754FF"/>
    <w:rsid w:val="00A764E6"/>
    <w:rsid w:val="00A811FB"/>
    <w:rsid w:val="00A8172D"/>
    <w:rsid w:val="00A820F5"/>
    <w:rsid w:val="00A82480"/>
    <w:rsid w:val="00A8627C"/>
    <w:rsid w:val="00A8699A"/>
    <w:rsid w:val="00A878EC"/>
    <w:rsid w:val="00A90ACA"/>
    <w:rsid w:val="00A930F9"/>
    <w:rsid w:val="00A940E2"/>
    <w:rsid w:val="00A94235"/>
    <w:rsid w:val="00A94C5E"/>
    <w:rsid w:val="00A96190"/>
    <w:rsid w:val="00AA190E"/>
    <w:rsid w:val="00AA2343"/>
    <w:rsid w:val="00AA2E0C"/>
    <w:rsid w:val="00AA32FF"/>
    <w:rsid w:val="00AA364E"/>
    <w:rsid w:val="00AA452D"/>
    <w:rsid w:val="00AA5C25"/>
    <w:rsid w:val="00AA60D8"/>
    <w:rsid w:val="00AB00D8"/>
    <w:rsid w:val="00AB1A37"/>
    <w:rsid w:val="00AB1C05"/>
    <w:rsid w:val="00AB206C"/>
    <w:rsid w:val="00AB21A1"/>
    <w:rsid w:val="00AB2477"/>
    <w:rsid w:val="00AB358E"/>
    <w:rsid w:val="00AB4796"/>
    <w:rsid w:val="00AB538B"/>
    <w:rsid w:val="00AB573A"/>
    <w:rsid w:val="00AB71CE"/>
    <w:rsid w:val="00AB7A92"/>
    <w:rsid w:val="00AC0918"/>
    <w:rsid w:val="00AC1186"/>
    <w:rsid w:val="00AC24ED"/>
    <w:rsid w:val="00AC3810"/>
    <w:rsid w:val="00AC3C24"/>
    <w:rsid w:val="00AC5FCC"/>
    <w:rsid w:val="00AC6E07"/>
    <w:rsid w:val="00AC7EE9"/>
    <w:rsid w:val="00AD02DE"/>
    <w:rsid w:val="00AD0A21"/>
    <w:rsid w:val="00AD2DC0"/>
    <w:rsid w:val="00AD330A"/>
    <w:rsid w:val="00AD46A9"/>
    <w:rsid w:val="00AD4756"/>
    <w:rsid w:val="00AD5F04"/>
    <w:rsid w:val="00AD6CF1"/>
    <w:rsid w:val="00AE1173"/>
    <w:rsid w:val="00AE149D"/>
    <w:rsid w:val="00AF3808"/>
    <w:rsid w:val="00AF46F2"/>
    <w:rsid w:val="00AF5EA5"/>
    <w:rsid w:val="00AF6586"/>
    <w:rsid w:val="00B01CAE"/>
    <w:rsid w:val="00B02533"/>
    <w:rsid w:val="00B026C3"/>
    <w:rsid w:val="00B03E77"/>
    <w:rsid w:val="00B046AC"/>
    <w:rsid w:val="00B10CB5"/>
    <w:rsid w:val="00B11F52"/>
    <w:rsid w:val="00B124D3"/>
    <w:rsid w:val="00B12EB7"/>
    <w:rsid w:val="00B13F53"/>
    <w:rsid w:val="00B14D5E"/>
    <w:rsid w:val="00B15CDA"/>
    <w:rsid w:val="00B16436"/>
    <w:rsid w:val="00B211D5"/>
    <w:rsid w:val="00B22EF5"/>
    <w:rsid w:val="00B2455B"/>
    <w:rsid w:val="00B2514C"/>
    <w:rsid w:val="00B2651A"/>
    <w:rsid w:val="00B26E56"/>
    <w:rsid w:val="00B27F88"/>
    <w:rsid w:val="00B3128F"/>
    <w:rsid w:val="00B313AD"/>
    <w:rsid w:val="00B344CF"/>
    <w:rsid w:val="00B34622"/>
    <w:rsid w:val="00B378D4"/>
    <w:rsid w:val="00B40114"/>
    <w:rsid w:val="00B43E1D"/>
    <w:rsid w:val="00B44AAD"/>
    <w:rsid w:val="00B50231"/>
    <w:rsid w:val="00B5029D"/>
    <w:rsid w:val="00B50611"/>
    <w:rsid w:val="00B50F07"/>
    <w:rsid w:val="00B51106"/>
    <w:rsid w:val="00B5195A"/>
    <w:rsid w:val="00B54385"/>
    <w:rsid w:val="00B570F5"/>
    <w:rsid w:val="00B620C1"/>
    <w:rsid w:val="00B63C3D"/>
    <w:rsid w:val="00B65149"/>
    <w:rsid w:val="00B65513"/>
    <w:rsid w:val="00B6566C"/>
    <w:rsid w:val="00B670A7"/>
    <w:rsid w:val="00B7034C"/>
    <w:rsid w:val="00B741A0"/>
    <w:rsid w:val="00B80C0C"/>
    <w:rsid w:val="00B8232F"/>
    <w:rsid w:val="00B86367"/>
    <w:rsid w:val="00B8684F"/>
    <w:rsid w:val="00B9044B"/>
    <w:rsid w:val="00B9153E"/>
    <w:rsid w:val="00B95082"/>
    <w:rsid w:val="00B952AF"/>
    <w:rsid w:val="00B97350"/>
    <w:rsid w:val="00BA1058"/>
    <w:rsid w:val="00BA32D7"/>
    <w:rsid w:val="00BB14E8"/>
    <w:rsid w:val="00BB24A5"/>
    <w:rsid w:val="00BB4468"/>
    <w:rsid w:val="00BB4730"/>
    <w:rsid w:val="00BB48A5"/>
    <w:rsid w:val="00BB4BAE"/>
    <w:rsid w:val="00BB4F1A"/>
    <w:rsid w:val="00BB62CA"/>
    <w:rsid w:val="00BB6FB5"/>
    <w:rsid w:val="00BB7849"/>
    <w:rsid w:val="00BC0CB8"/>
    <w:rsid w:val="00BC0E9D"/>
    <w:rsid w:val="00BC66B4"/>
    <w:rsid w:val="00BC7A60"/>
    <w:rsid w:val="00BC7B17"/>
    <w:rsid w:val="00BD157F"/>
    <w:rsid w:val="00BD2CD8"/>
    <w:rsid w:val="00BD37E3"/>
    <w:rsid w:val="00BD3C9D"/>
    <w:rsid w:val="00BD40E8"/>
    <w:rsid w:val="00BD4505"/>
    <w:rsid w:val="00BD6402"/>
    <w:rsid w:val="00BE3EF5"/>
    <w:rsid w:val="00BE49DB"/>
    <w:rsid w:val="00BE535A"/>
    <w:rsid w:val="00BE5564"/>
    <w:rsid w:val="00BE6BF1"/>
    <w:rsid w:val="00BF042F"/>
    <w:rsid w:val="00BF343D"/>
    <w:rsid w:val="00BF4AB8"/>
    <w:rsid w:val="00C02F95"/>
    <w:rsid w:val="00C06F0E"/>
    <w:rsid w:val="00C10A00"/>
    <w:rsid w:val="00C11B2E"/>
    <w:rsid w:val="00C11C8B"/>
    <w:rsid w:val="00C124A2"/>
    <w:rsid w:val="00C13611"/>
    <w:rsid w:val="00C14A38"/>
    <w:rsid w:val="00C163D4"/>
    <w:rsid w:val="00C16567"/>
    <w:rsid w:val="00C23A59"/>
    <w:rsid w:val="00C24E9A"/>
    <w:rsid w:val="00C2569A"/>
    <w:rsid w:val="00C269D0"/>
    <w:rsid w:val="00C27CD0"/>
    <w:rsid w:val="00C30003"/>
    <w:rsid w:val="00C34A4E"/>
    <w:rsid w:val="00C355D1"/>
    <w:rsid w:val="00C35699"/>
    <w:rsid w:val="00C35985"/>
    <w:rsid w:val="00C369DD"/>
    <w:rsid w:val="00C36DC3"/>
    <w:rsid w:val="00C37527"/>
    <w:rsid w:val="00C40DDF"/>
    <w:rsid w:val="00C42135"/>
    <w:rsid w:val="00C435C5"/>
    <w:rsid w:val="00C43F3A"/>
    <w:rsid w:val="00C44199"/>
    <w:rsid w:val="00C465DE"/>
    <w:rsid w:val="00C50E9E"/>
    <w:rsid w:val="00C5124F"/>
    <w:rsid w:val="00C514E4"/>
    <w:rsid w:val="00C5242E"/>
    <w:rsid w:val="00C54132"/>
    <w:rsid w:val="00C546CF"/>
    <w:rsid w:val="00C563E0"/>
    <w:rsid w:val="00C60BAB"/>
    <w:rsid w:val="00C61197"/>
    <w:rsid w:val="00C62063"/>
    <w:rsid w:val="00C63465"/>
    <w:rsid w:val="00C63CBB"/>
    <w:rsid w:val="00C70A64"/>
    <w:rsid w:val="00C71408"/>
    <w:rsid w:val="00C71D5A"/>
    <w:rsid w:val="00C72403"/>
    <w:rsid w:val="00C72660"/>
    <w:rsid w:val="00C72CEF"/>
    <w:rsid w:val="00C73078"/>
    <w:rsid w:val="00C7496D"/>
    <w:rsid w:val="00C76268"/>
    <w:rsid w:val="00C765E5"/>
    <w:rsid w:val="00C81FD6"/>
    <w:rsid w:val="00C83CED"/>
    <w:rsid w:val="00C86991"/>
    <w:rsid w:val="00C878FA"/>
    <w:rsid w:val="00C87F56"/>
    <w:rsid w:val="00C92F6B"/>
    <w:rsid w:val="00C9488D"/>
    <w:rsid w:val="00C94C25"/>
    <w:rsid w:val="00C96288"/>
    <w:rsid w:val="00C9670F"/>
    <w:rsid w:val="00C96FC5"/>
    <w:rsid w:val="00C97208"/>
    <w:rsid w:val="00CA0344"/>
    <w:rsid w:val="00CA3EC7"/>
    <w:rsid w:val="00CA50B3"/>
    <w:rsid w:val="00CA7288"/>
    <w:rsid w:val="00CA7D74"/>
    <w:rsid w:val="00CB032D"/>
    <w:rsid w:val="00CB048C"/>
    <w:rsid w:val="00CB535F"/>
    <w:rsid w:val="00CB5526"/>
    <w:rsid w:val="00CC12C8"/>
    <w:rsid w:val="00CC2A0E"/>
    <w:rsid w:val="00CC3922"/>
    <w:rsid w:val="00CC3F80"/>
    <w:rsid w:val="00CC567E"/>
    <w:rsid w:val="00CC5FE5"/>
    <w:rsid w:val="00CD055B"/>
    <w:rsid w:val="00CD16D9"/>
    <w:rsid w:val="00CD2216"/>
    <w:rsid w:val="00CD2348"/>
    <w:rsid w:val="00CD3360"/>
    <w:rsid w:val="00CD4C64"/>
    <w:rsid w:val="00CD5D91"/>
    <w:rsid w:val="00CD6ABC"/>
    <w:rsid w:val="00CE0543"/>
    <w:rsid w:val="00CE1EA3"/>
    <w:rsid w:val="00CE3730"/>
    <w:rsid w:val="00CE5BCF"/>
    <w:rsid w:val="00CE730C"/>
    <w:rsid w:val="00CE7930"/>
    <w:rsid w:val="00CE7B2A"/>
    <w:rsid w:val="00CF185B"/>
    <w:rsid w:val="00CF2692"/>
    <w:rsid w:val="00CF3D46"/>
    <w:rsid w:val="00CF3EAE"/>
    <w:rsid w:val="00CF3FD9"/>
    <w:rsid w:val="00CF4EBD"/>
    <w:rsid w:val="00CF5B5F"/>
    <w:rsid w:val="00CF708E"/>
    <w:rsid w:val="00D002A9"/>
    <w:rsid w:val="00D05077"/>
    <w:rsid w:val="00D05EB4"/>
    <w:rsid w:val="00D071DB"/>
    <w:rsid w:val="00D07B33"/>
    <w:rsid w:val="00D11C32"/>
    <w:rsid w:val="00D11E69"/>
    <w:rsid w:val="00D1355E"/>
    <w:rsid w:val="00D14200"/>
    <w:rsid w:val="00D15EDD"/>
    <w:rsid w:val="00D177E2"/>
    <w:rsid w:val="00D2044F"/>
    <w:rsid w:val="00D226E5"/>
    <w:rsid w:val="00D235AE"/>
    <w:rsid w:val="00D26102"/>
    <w:rsid w:val="00D31483"/>
    <w:rsid w:val="00D31941"/>
    <w:rsid w:val="00D329AE"/>
    <w:rsid w:val="00D334B6"/>
    <w:rsid w:val="00D344DB"/>
    <w:rsid w:val="00D37DFC"/>
    <w:rsid w:val="00D40905"/>
    <w:rsid w:val="00D42E8F"/>
    <w:rsid w:val="00D433C8"/>
    <w:rsid w:val="00D438A2"/>
    <w:rsid w:val="00D44A23"/>
    <w:rsid w:val="00D47C69"/>
    <w:rsid w:val="00D530DB"/>
    <w:rsid w:val="00D53DAA"/>
    <w:rsid w:val="00D54C84"/>
    <w:rsid w:val="00D55E23"/>
    <w:rsid w:val="00D57082"/>
    <w:rsid w:val="00D619BE"/>
    <w:rsid w:val="00D629CB"/>
    <w:rsid w:val="00D639BB"/>
    <w:rsid w:val="00D63D53"/>
    <w:rsid w:val="00D64C87"/>
    <w:rsid w:val="00D67B2A"/>
    <w:rsid w:val="00D70A3D"/>
    <w:rsid w:val="00D717AA"/>
    <w:rsid w:val="00D72A23"/>
    <w:rsid w:val="00D73BF4"/>
    <w:rsid w:val="00D73CF8"/>
    <w:rsid w:val="00D80A0B"/>
    <w:rsid w:val="00D80FF1"/>
    <w:rsid w:val="00D8133E"/>
    <w:rsid w:val="00D8255E"/>
    <w:rsid w:val="00D82589"/>
    <w:rsid w:val="00D8261F"/>
    <w:rsid w:val="00D859AF"/>
    <w:rsid w:val="00D872FE"/>
    <w:rsid w:val="00D90B8B"/>
    <w:rsid w:val="00D92687"/>
    <w:rsid w:val="00D94D5F"/>
    <w:rsid w:val="00D95638"/>
    <w:rsid w:val="00D96C07"/>
    <w:rsid w:val="00D977D5"/>
    <w:rsid w:val="00DA3176"/>
    <w:rsid w:val="00DA4C9C"/>
    <w:rsid w:val="00DA51D5"/>
    <w:rsid w:val="00DA6840"/>
    <w:rsid w:val="00DA6C8F"/>
    <w:rsid w:val="00DB2513"/>
    <w:rsid w:val="00DB448C"/>
    <w:rsid w:val="00DB5D58"/>
    <w:rsid w:val="00DB6354"/>
    <w:rsid w:val="00DB71A9"/>
    <w:rsid w:val="00DC0405"/>
    <w:rsid w:val="00DC18B9"/>
    <w:rsid w:val="00DC2B3F"/>
    <w:rsid w:val="00DC3D41"/>
    <w:rsid w:val="00DC40A2"/>
    <w:rsid w:val="00DC773B"/>
    <w:rsid w:val="00DD0EE7"/>
    <w:rsid w:val="00DD227E"/>
    <w:rsid w:val="00DD6744"/>
    <w:rsid w:val="00DD6E7B"/>
    <w:rsid w:val="00DD6EB5"/>
    <w:rsid w:val="00DD7483"/>
    <w:rsid w:val="00DE2C47"/>
    <w:rsid w:val="00DE475F"/>
    <w:rsid w:val="00DE4F3A"/>
    <w:rsid w:val="00DE51B8"/>
    <w:rsid w:val="00DE6887"/>
    <w:rsid w:val="00DF01D5"/>
    <w:rsid w:val="00DF0411"/>
    <w:rsid w:val="00DF1F6F"/>
    <w:rsid w:val="00DF276C"/>
    <w:rsid w:val="00DF3352"/>
    <w:rsid w:val="00DF4757"/>
    <w:rsid w:val="00DF5ED5"/>
    <w:rsid w:val="00DF5F54"/>
    <w:rsid w:val="00DF7337"/>
    <w:rsid w:val="00DF74D1"/>
    <w:rsid w:val="00DF75E8"/>
    <w:rsid w:val="00DF798F"/>
    <w:rsid w:val="00E00E08"/>
    <w:rsid w:val="00E01D05"/>
    <w:rsid w:val="00E02182"/>
    <w:rsid w:val="00E02AFF"/>
    <w:rsid w:val="00E03DA0"/>
    <w:rsid w:val="00E04176"/>
    <w:rsid w:val="00E05010"/>
    <w:rsid w:val="00E05F15"/>
    <w:rsid w:val="00E06768"/>
    <w:rsid w:val="00E06CBB"/>
    <w:rsid w:val="00E104F2"/>
    <w:rsid w:val="00E10727"/>
    <w:rsid w:val="00E12D7C"/>
    <w:rsid w:val="00E1797D"/>
    <w:rsid w:val="00E220EF"/>
    <w:rsid w:val="00E22CE4"/>
    <w:rsid w:val="00E23756"/>
    <w:rsid w:val="00E249E3"/>
    <w:rsid w:val="00E26160"/>
    <w:rsid w:val="00E26304"/>
    <w:rsid w:val="00E26354"/>
    <w:rsid w:val="00E27C98"/>
    <w:rsid w:val="00E33021"/>
    <w:rsid w:val="00E36B62"/>
    <w:rsid w:val="00E36D8C"/>
    <w:rsid w:val="00E41FD1"/>
    <w:rsid w:val="00E424FC"/>
    <w:rsid w:val="00E42C0F"/>
    <w:rsid w:val="00E42D26"/>
    <w:rsid w:val="00E45D86"/>
    <w:rsid w:val="00E50F90"/>
    <w:rsid w:val="00E51D1B"/>
    <w:rsid w:val="00E51D23"/>
    <w:rsid w:val="00E53F21"/>
    <w:rsid w:val="00E546D6"/>
    <w:rsid w:val="00E54BF0"/>
    <w:rsid w:val="00E553EC"/>
    <w:rsid w:val="00E55493"/>
    <w:rsid w:val="00E55E9A"/>
    <w:rsid w:val="00E56A80"/>
    <w:rsid w:val="00E57721"/>
    <w:rsid w:val="00E57C9C"/>
    <w:rsid w:val="00E65D99"/>
    <w:rsid w:val="00E66541"/>
    <w:rsid w:val="00E66666"/>
    <w:rsid w:val="00E66F70"/>
    <w:rsid w:val="00E708CE"/>
    <w:rsid w:val="00E7181B"/>
    <w:rsid w:val="00E74653"/>
    <w:rsid w:val="00E74833"/>
    <w:rsid w:val="00E75828"/>
    <w:rsid w:val="00E762B6"/>
    <w:rsid w:val="00E800DF"/>
    <w:rsid w:val="00E81BB9"/>
    <w:rsid w:val="00E828CC"/>
    <w:rsid w:val="00E82CB0"/>
    <w:rsid w:val="00E82D19"/>
    <w:rsid w:val="00E87A6B"/>
    <w:rsid w:val="00E901B8"/>
    <w:rsid w:val="00E9105F"/>
    <w:rsid w:val="00E9125D"/>
    <w:rsid w:val="00E91CD7"/>
    <w:rsid w:val="00E93CE8"/>
    <w:rsid w:val="00E9606E"/>
    <w:rsid w:val="00E96305"/>
    <w:rsid w:val="00E97209"/>
    <w:rsid w:val="00E97ED8"/>
    <w:rsid w:val="00EA0E3C"/>
    <w:rsid w:val="00EA418B"/>
    <w:rsid w:val="00EA5013"/>
    <w:rsid w:val="00EA6431"/>
    <w:rsid w:val="00EA714E"/>
    <w:rsid w:val="00EB07F0"/>
    <w:rsid w:val="00EB0F03"/>
    <w:rsid w:val="00EB19B4"/>
    <w:rsid w:val="00EB34CC"/>
    <w:rsid w:val="00EB389D"/>
    <w:rsid w:val="00EC02E5"/>
    <w:rsid w:val="00EC08C7"/>
    <w:rsid w:val="00EC0D99"/>
    <w:rsid w:val="00EC19C0"/>
    <w:rsid w:val="00EC203A"/>
    <w:rsid w:val="00EC290A"/>
    <w:rsid w:val="00EC2956"/>
    <w:rsid w:val="00EC3C77"/>
    <w:rsid w:val="00EC7DC3"/>
    <w:rsid w:val="00EC7FE2"/>
    <w:rsid w:val="00ED0482"/>
    <w:rsid w:val="00ED1491"/>
    <w:rsid w:val="00ED1A34"/>
    <w:rsid w:val="00ED28FB"/>
    <w:rsid w:val="00ED438D"/>
    <w:rsid w:val="00ED46A3"/>
    <w:rsid w:val="00ED4B95"/>
    <w:rsid w:val="00ED5BF6"/>
    <w:rsid w:val="00ED6190"/>
    <w:rsid w:val="00ED6A91"/>
    <w:rsid w:val="00EE3ACF"/>
    <w:rsid w:val="00EE58E0"/>
    <w:rsid w:val="00EE63E3"/>
    <w:rsid w:val="00EE67FB"/>
    <w:rsid w:val="00EE73AB"/>
    <w:rsid w:val="00EF1C4F"/>
    <w:rsid w:val="00EF1D08"/>
    <w:rsid w:val="00EF21F2"/>
    <w:rsid w:val="00EF4B92"/>
    <w:rsid w:val="00EF5291"/>
    <w:rsid w:val="00EF740F"/>
    <w:rsid w:val="00F00770"/>
    <w:rsid w:val="00F02BAF"/>
    <w:rsid w:val="00F033E2"/>
    <w:rsid w:val="00F056D0"/>
    <w:rsid w:val="00F06479"/>
    <w:rsid w:val="00F075DA"/>
    <w:rsid w:val="00F11399"/>
    <w:rsid w:val="00F1268B"/>
    <w:rsid w:val="00F1286E"/>
    <w:rsid w:val="00F13690"/>
    <w:rsid w:val="00F1491E"/>
    <w:rsid w:val="00F14D25"/>
    <w:rsid w:val="00F160DD"/>
    <w:rsid w:val="00F16404"/>
    <w:rsid w:val="00F16A75"/>
    <w:rsid w:val="00F17578"/>
    <w:rsid w:val="00F21462"/>
    <w:rsid w:val="00F244A5"/>
    <w:rsid w:val="00F24B1D"/>
    <w:rsid w:val="00F25235"/>
    <w:rsid w:val="00F258E7"/>
    <w:rsid w:val="00F25A6B"/>
    <w:rsid w:val="00F26263"/>
    <w:rsid w:val="00F26C04"/>
    <w:rsid w:val="00F32455"/>
    <w:rsid w:val="00F35FD7"/>
    <w:rsid w:val="00F40DAE"/>
    <w:rsid w:val="00F42694"/>
    <w:rsid w:val="00F479AF"/>
    <w:rsid w:val="00F505B5"/>
    <w:rsid w:val="00F50FE4"/>
    <w:rsid w:val="00F511F1"/>
    <w:rsid w:val="00F51712"/>
    <w:rsid w:val="00F51766"/>
    <w:rsid w:val="00F546A2"/>
    <w:rsid w:val="00F56027"/>
    <w:rsid w:val="00F5777E"/>
    <w:rsid w:val="00F60499"/>
    <w:rsid w:val="00F617A1"/>
    <w:rsid w:val="00F63563"/>
    <w:rsid w:val="00F65182"/>
    <w:rsid w:val="00F7257C"/>
    <w:rsid w:val="00F747CE"/>
    <w:rsid w:val="00F77A65"/>
    <w:rsid w:val="00F8379A"/>
    <w:rsid w:val="00F83F53"/>
    <w:rsid w:val="00F85F25"/>
    <w:rsid w:val="00F8653E"/>
    <w:rsid w:val="00F866C5"/>
    <w:rsid w:val="00F867D9"/>
    <w:rsid w:val="00F86A42"/>
    <w:rsid w:val="00F908BF"/>
    <w:rsid w:val="00F91EC2"/>
    <w:rsid w:val="00F94177"/>
    <w:rsid w:val="00F94388"/>
    <w:rsid w:val="00F94A29"/>
    <w:rsid w:val="00FA377B"/>
    <w:rsid w:val="00FA4A61"/>
    <w:rsid w:val="00FA5379"/>
    <w:rsid w:val="00FB198C"/>
    <w:rsid w:val="00FB4064"/>
    <w:rsid w:val="00FB43B5"/>
    <w:rsid w:val="00FB4F79"/>
    <w:rsid w:val="00FB7E0C"/>
    <w:rsid w:val="00FC1BE2"/>
    <w:rsid w:val="00FC2208"/>
    <w:rsid w:val="00FC390A"/>
    <w:rsid w:val="00FC456F"/>
    <w:rsid w:val="00FC46BE"/>
    <w:rsid w:val="00FC59D9"/>
    <w:rsid w:val="00FC730A"/>
    <w:rsid w:val="00FD0254"/>
    <w:rsid w:val="00FD0A68"/>
    <w:rsid w:val="00FD1829"/>
    <w:rsid w:val="00FD597D"/>
    <w:rsid w:val="00FD5E98"/>
    <w:rsid w:val="00FD6748"/>
    <w:rsid w:val="00FD68D2"/>
    <w:rsid w:val="00FE0B1D"/>
    <w:rsid w:val="00FE0B76"/>
    <w:rsid w:val="00FE0B88"/>
    <w:rsid w:val="00FE295B"/>
    <w:rsid w:val="00FE7BF6"/>
    <w:rsid w:val="00FF2F47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2E8D04"/>
  <w15:docId w15:val="{6E32E77F-7AA8-4A25-80B6-2F94CA9F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8D16EE"/>
    <w:pPr>
      <w:numPr>
        <w:numId w:val="6"/>
      </w:numPr>
      <w:spacing w:before="120" w:after="120"/>
      <w:outlineLvl w:val="0"/>
    </w:pPr>
    <w:rPr>
      <w:rFonts w:ascii="Segoe UI" w:hAnsi="Segoe UI" w:cs="Segoe UI"/>
      <w:b/>
      <w:szCs w:val="24"/>
      <w:lang w:val="pt-BR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8D16EE"/>
    <w:pPr>
      <w:numPr>
        <w:numId w:val="4"/>
      </w:numPr>
      <w:spacing w:before="120" w:after="120"/>
      <w:outlineLvl w:val="1"/>
    </w:pPr>
    <w:rPr>
      <w:b/>
      <w:bCs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rsid w:val="00AC3810"/>
    <w:pPr>
      <w:spacing w:after="280"/>
      <w:outlineLvl w:val="2"/>
    </w:pPr>
    <w:rPr>
      <w:bCs w:val="0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A3176"/>
    <w:pPr>
      <w:numPr>
        <w:numId w:val="1"/>
      </w:numPr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nhideWhenUsed/>
    <w:rsid w:val="001D2D55"/>
    <w:rPr>
      <w:color w:val="00478D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D16EE"/>
    <w:rPr>
      <w:rFonts w:ascii="Segoe UI" w:hAnsi="Segoe UI" w:cs="Segoe UI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D16EE"/>
    <w:rPr>
      <w:rFonts w:ascii="Arial" w:hAnsi="Arial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Arial" w:hAnsi="Arial"/>
      <w:b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Arial" w:hAnsi="Arial"/>
      <w:b/>
      <w:bCs/>
      <w:i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Arial" w:hAnsi="Arial"/>
      <w:b/>
      <w:bCs/>
      <w:iCs/>
      <w:sz w:val="24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Arial" w:hAnsi="Arial"/>
      <w:b/>
      <w:bCs/>
      <w:sz w:val="24"/>
      <w:szCs w:val="28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Arial" w:hAnsi="Arial"/>
      <w:b/>
      <w:bCs/>
      <w:i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Arial" w:hAnsi="Arial"/>
      <w:b/>
      <w:bCs/>
      <w:iCs/>
      <w:sz w:val="24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2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4AE4D" w:themeColor="followedHyperlink"/>
      <w:u w:val="single"/>
    </w:rPr>
  </w:style>
  <w:style w:type="character" w:styleId="Refdecomentrio">
    <w:name w:val="annotation reference"/>
    <w:basedOn w:val="Fontepargpadro"/>
    <w:unhideWhenUsed/>
    <w:rsid w:val="00895C2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95C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5C28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C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C28"/>
    <w:rPr>
      <w:rFonts w:ascii="Arial" w:eastAsiaTheme="minorEastAsia" w:hAnsi="Arial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3F31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3F31"/>
    <w:rPr>
      <w:rFonts w:ascii="Arial" w:eastAsiaTheme="minorEastAsia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63F31"/>
    <w:rPr>
      <w:vertAlign w:val="superscript"/>
    </w:rPr>
  </w:style>
  <w:style w:type="character" w:customStyle="1" w:styleId="ts-alignment-element">
    <w:name w:val="ts-alignment-element"/>
    <w:basedOn w:val="Fontepargpadro"/>
    <w:rsid w:val="007C2FD3"/>
  </w:style>
  <w:style w:type="paragraph" w:styleId="Reviso">
    <w:name w:val="Revision"/>
    <w:hidden/>
    <w:uiPriority w:val="99"/>
    <w:semiHidden/>
    <w:rsid w:val="008D04D4"/>
    <w:pPr>
      <w:spacing w:after="0" w:line="240" w:lineRule="auto"/>
    </w:pPr>
    <w:rPr>
      <w:rFonts w:ascii="Arial" w:eastAsiaTheme="minorEastAsia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ce\Downloads\Template-OCs%20(14).dotx" TargetMode="External"/></Relationships>
</file>

<file path=word/theme/theme1.xml><?xml version="1.0" encoding="utf-8"?>
<a:theme xmlns:a="http://schemas.openxmlformats.org/drawingml/2006/main" name="Tema do Office">
  <a:themeElements>
    <a:clrScheme name="BM&amp;FBOVESPA2">
      <a:dk1>
        <a:srgbClr val="2F2F2F"/>
      </a:dk1>
      <a:lt1>
        <a:srgbClr val="F2F2F2"/>
      </a:lt1>
      <a:dk2>
        <a:srgbClr val="00478D"/>
      </a:dk2>
      <a:lt2>
        <a:srgbClr val="F2F2F2"/>
      </a:lt2>
      <a:accent1>
        <a:srgbClr val="00478D"/>
      </a:accent1>
      <a:accent2>
        <a:srgbClr val="04AE4D"/>
      </a:accent2>
      <a:accent3>
        <a:srgbClr val="3C3C3C"/>
      </a:accent3>
      <a:accent4>
        <a:srgbClr val="BFBFBF"/>
      </a:accent4>
      <a:accent5>
        <a:srgbClr val="6BB5FF"/>
      </a:accent5>
      <a:accent6>
        <a:srgbClr val="3CFA8D"/>
      </a:accent6>
      <a:hlink>
        <a:srgbClr val="04AE4D"/>
      </a:hlink>
      <a:folHlink>
        <a:srgbClr val="04AE4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6EFEF7D0459479C2B077F9CC506F4" ma:contentTypeVersion="10" ma:contentTypeDescription="Crie um novo documento." ma:contentTypeScope="" ma:versionID="43cd10b64f265b7dd32059be640333a9">
  <xsd:schema xmlns:xsd="http://www.w3.org/2001/XMLSchema" xmlns:xs="http://www.w3.org/2001/XMLSchema" xmlns:p="http://schemas.microsoft.com/office/2006/metadata/properties" xmlns:ns1="http://schemas.microsoft.com/sharepoint/v3" xmlns:ns2="80facd6c-f04a-426f-adbd-b3840a7840bd" xmlns:ns3="d33496c5-bd94-446e-a363-fca1fec0d15a" targetNamespace="http://schemas.microsoft.com/office/2006/metadata/properties" ma:root="true" ma:fieldsID="0d6b128c5ce9545d0d2912f9a975af95" ns1:_="" ns2:_="" ns3:_="">
    <xsd:import namespace="http://schemas.microsoft.com/sharepoint/v3"/>
    <xsd:import namespace="80facd6c-f04a-426f-adbd-b3840a7840bd"/>
    <xsd:import namespace="d33496c5-bd94-446e-a363-fca1fec0d1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cd6c-f04a-426f-adbd-b3840a78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96c5-bd94-446e-a363-fca1fec0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84340-EC2C-44EB-B943-A5E455C9E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2FDA5-E181-41D4-8AAC-1C7A171AC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acd6c-f04a-426f-adbd-b3840a7840bd"/>
    <ds:schemaRef ds:uri="d33496c5-bd94-446e-a363-fca1fec0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C7DEB-7D23-46D9-ABDD-7C4FEC3518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E380069-986A-4C18-9D6A-E1C9043C1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Template-OCs (14)</Template>
  <TotalTime>151</TotalTime>
  <Pages>4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000/2021-PRE</vt:lpstr>
    </vt:vector>
  </TitlesOfParts>
  <Company>BM&amp;FBOVESPA</Company>
  <LinksUpToDate>false</LinksUpToDate>
  <CharactersWithSpaces>4627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http://www.b3.com.br/</vt:lpwstr>
      </vt:variant>
      <vt:variant>
        <vt:lpwstr/>
      </vt:variant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http://www.b3.com.br/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000/2021-PRE</dc:title>
  <dc:subject>Lorem Ipsum Dolor Sit Amet Consectetur Adipiscing Elit – Curabitur Mauris Neque Blandit Sit Amet Massa Nec</dc:subject>
  <dc:creator>Filipe Sarubbi Gois</dc:creator>
  <cp:keywords/>
  <dc:description/>
  <cp:lastModifiedBy>Lucas Carpanezi Paulino de Souza</cp:lastModifiedBy>
  <cp:revision>7</cp:revision>
  <cp:lastPrinted>2016-02-24T19:28:00Z</cp:lastPrinted>
  <dcterms:created xsi:type="dcterms:W3CDTF">2022-01-20T19:44:00Z</dcterms:created>
  <dcterms:modified xsi:type="dcterms:W3CDTF">2022-02-03T21:49:00Z</dcterms:modified>
  <cp:category>OFÍCIO CIRCULAR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0x0101001996EFEF7D0459479C2B077F9CC506F4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2021-08-03T13:53:06Z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ca16fb95-9b00-492c-b939-04e613f5f7d1</vt:lpwstr>
  </property>
  <property fmtid="{D5CDD505-2E9C-101B-9397-08002B2CF9AE}" pid="9" name="MSIP_Label_d828e72b-e531-4a93-b6e1-4cba36a7be73_ContentBits">
    <vt:lpwstr>2</vt:lpwstr>
  </property>
</Properties>
</file>